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bookmarkStart w:id="0" w:name="_GoBack"/>
      <w:bookmarkEnd w:id="0"/>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领导层</w:t>
            </w:r>
            <w:r>
              <w:rPr>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马雪玲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pPr>
            <w:r>
              <w:rPr>
                <w:rFonts w:hint="eastAsia"/>
                <w:sz w:val="24"/>
                <w:szCs w:val="24"/>
              </w:rPr>
              <w:t xml:space="preserve">审核员：   </w:t>
            </w:r>
            <w:r>
              <w:rPr>
                <w:rFonts w:hint="eastAsia"/>
                <w:sz w:val="24"/>
                <w:szCs w:val="24"/>
                <w:lang w:val="en-US" w:eastAsia="zh-CN"/>
              </w:rPr>
              <w:t>张磊（现场），韦春喜（远程）</w:t>
            </w:r>
            <w:r>
              <w:rPr>
                <w:sz w:val="24"/>
                <w:szCs w:val="24"/>
              </w:rPr>
              <w:t xml:space="preserve">          </w:t>
            </w:r>
            <w:r>
              <w:rPr>
                <w:rFonts w:hint="eastAsia"/>
                <w:sz w:val="24"/>
                <w:szCs w:val="24"/>
              </w:rPr>
              <w:t>审核日期：2020-0</w:t>
            </w:r>
            <w:r>
              <w:rPr>
                <w:rFonts w:hint="eastAsia"/>
                <w:sz w:val="24"/>
                <w:szCs w:val="24"/>
                <w:lang w:val="en-US" w:eastAsia="zh-CN"/>
              </w:rPr>
              <w:t>7</w:t>
            </w:r>
            <w:r>
              <w:rPr>
                <w:rFonts w:hint="eastAsia"/>
                <w:sz w:val="24"/>
                <w:szCs w:val="24"/>
              </w:rPr>
              <w:t>-</w:t>
            </w:r>
            <w:r>
              <w:rPr>
                <w:rFonts w:hint="eastAsia"/>
                <w:sz w:val="24"/>
                <w:szCs w:val="24"/>
                <w:lang w:val="en-US" w:eastAsia="zh-CN"/>
              </w:rPr>
              <w:t>10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tabs>
                <w:tab w:val="left" w:pos="709"/>
              </w:tabs>
              <w:ind w:right="57"/>
              <w:jc w:val="left"/>
              <w:rPr>
                <w:sz w:val="24"/>
                <w:szCs w:val="24"/>
              </w:rPr>
            </w:pPr>
            <w:r>
              <w:rPr>
                <w:rFonts w:hint="eastAsia"/>
                <w:sz w:val="24"/>
                <w:szCs w:val="24"/>
              </w:rPr>
              <w:t>审核条款：</w:t>
            </w:r>
            <w:r>
              <w:rPr>
                <w:rFonts w:hint="eastAsia"/>
                <w:szCs w:val="21"/>
              </w:rPr>
              <w:t xml:space="preserve">QMS：4/5/6 / </w:t>
            </w:r>
            <w:r>
              <w:rPr>
                <w:szCs w:val="21"/>
              </w:rPr>
              <w:t>7</w:t>
            </w:r>
            <w:r>
              <w:rPr>
                <w:rFonts w:hint="eastAsia"/>
                <w:szCs w:val="21"/>
              </w:rPr>
              <w:t>.1.1 / 7.4 /8.3 / 9.1.1/9.1.3/9.3 / 10.1 / 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tcPr>
          <w:p>
            <w:r>
              <w:rPr>
                <w:rFonts w:hint="eastAsia"/>
              </w:rPr>
              <w:t>一阶段问题验证/投诉或事故/政府主管部门监督抽查情况</w:t>
            </w:r>
          </w:p>
        </w:tc>
        <w:tc>
          <w:tcPr>
            <w:tcW w:w="960" w:type="dxa"/>
          </w:tcPr>
          <w:p/>
        </w:tc>
        <w:tc>
          <w:tcPr>
            <w:tcW w:w="745" w:type="dxa"/>
          </w:tcPr>
          <w:p/>
        </w:tc>
        <w:tc>
          <w:tcPr>
            <w:tcW w:w="9259" w:type="dxa"/>
          </w:tcPr>
          <w:p>
            <w:r>
              <w:rPr>
                <w:rFonts w:hint="eastAsia"/>
              </w:rPr>
              <w:t>一阶段问题已整改，详见法律法规清单，体系运行期间无投诉或事故发生，无政府部门抽查情况</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理解组织及其环境</w:t>
            </w:r>
          </w:p>
        </w:tc>
        <w:tc>
          <w:tcPr>
            <w:tcW w:w="960" w:type="dxa"/>
            <w:vMerge w:val="restart"/>
          </w:tcPr>
          <w:p>
            <w:r>
              <w:rPr>
                <w:rFonts w:hint="eastAsia"/>
              </w:rPr>
              <w:t xml:space="preserve">Q4.1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《公司环境分析控制程序》、</w:t>
            </w:r>
            <w:r>
              <w:rPr>
                <w:rFonts w:hint="eastAsia"/>
              </w:rPr>
              <w:sym w:font="Wingdings" w:char="00FE"/>
            </w:r>
            <w:r>
              <w:rPr>
                <w:rFonts w:hint="eastAsia"/>
              </w:rPr>
              <w:t>管理手册第4.1章</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与最高管理者沟通：</w:t>
            </w:r>
          </w:p>
          <w:p>
            <w:pPr>
              <w:rPr>
                <w:color w:val="000000"/>
                <w:szCs w:val="21"/>
              </w:rPr>
            </w:pPr>
            <w:r>
              <w:rPr>
                <w:rFonts w:hint="eastAsia"/>
                <w:color w:val="000000"/>
                <w:szCs w:val="21"/>
              </w:rPr>
              <w:t>组织的环境：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外部环境</w:t>
                  </w:r>
                </w:p>
              </w:tc>
              <w:tc>
                <w:tcPr>
                  <w:tcW w:w="7147" w:type="dxa"/>
                </w:tcPr>
                <w:p>
                  <w:r>
                    <w:rPr>
                      <w:rFonts w:hint="eastAsia"/>
                    </w:rPr>
                    <w:t>☑</w:t>
                  </w:r>
                  <w:r>
                    <w:rPr>
                      <w:rFonts w:hint="eastAsia" w:ascii="宋体" w:hAnsi="宋体" w:cs="宋体"/>
                      <w:color w:val="000000"/>
                      <w:kern w:val="0"/>
                      <w:sz w:val="20"/>
                    </w:rPr>
                    <w:t>政治因素</w:t>
                  </w:r>
                  <w:r>
                    <w:rPr>
                      <w:rFonts w:hint="eastAsia"/>
                    </w:rPr>
                    <w:t xml:space="preserve"> ☑</w:t>
                  </w:r>
                  <w:r>
                    <w:rPr>
                      <w:rFonts w:hint="eastAsia" w:ascii="宋体" w:hAnsi="宋体" w:cs="宋体"/>
                      <w:color w:val="000000"/>
                      <w:kern w:val="0"/>
                      <w:sz w:val="20"/>
                    </w:rPr>
                    <w:t>经济因素</w:t>
                  </w:r>
                  <w:r>
                    <w:rPr>
                      <w:rFonts w:hint="eastAsia"/>
                    </w:rPr>
                    <w:t xml:space="preserve"> ☑</w:t>
                  </w:r>
                  <w:r>
                    <w:rPr>
                      <w:rFonts w:hint="eastAsia" w:ascii="宋体" w:hAnsi="宋体" w:cs="宋体"/>
                      <w:color w:val="000000"/>
                      <w:kern w:val="0"/>
                      <w:sz w:val="20"/>
                    </w:rPr>
                    <w:t>社会因素</w:t>
                  </w:r>
                  <w:r>
                    <w:rPr>
                      <w:rFonts w:hint="eastAsia"/>
                    </w:rPr>
                    <w:t xml:space="preserve"> ☑</w:t>
                  </w:r>
                  <w:r>
                    <w:rPr>
                      <w:rFonts w:hint="eastAsia" w:ascii="宋体" w:hAnsi="宋体" w:cs="宋体"/>
                      <w:color w:val="000000"/>
                      <w:kern w:val="0"/>
                      <w:sz w:val="20"/>
                    </w:rPr>
                    <w:t>技术因素</w:t>
                  </w:r>
                  <w:r>
                    <w:rPr>
                      <w:rFonts w:hint="eastAsia"/>
                    </w:rPr>
                    <w:t xml:space="preserve"> ☑</w:t>
                  </w:r>
                  <w:r>
                    <w:rPr>
                      <w:rFonts w:hint="eastAsia" w:ascii="宋体" w:hAnsi="宋体" w:cs="宋体"/>
                      <w:color w:val="000000"/>
                      <w:kern w:val="0"/>
                      <w:sz w:val="20"/>
                    </w:rPr>
                    <w:t>法律法规因素</w:t>
                  </w:r>
                  <w:r>
                    <w:rPr>
                      <w:rFonts w:hint="eastAsia"/>
                    </w:rPr>
                    <w:t xml:space="preserve">  ☑</w:t>
                  </w:r>
                  <w:r>
                    <w:rPr>
                      <w:rFonts w:hint="eastAsia" w:ascii="宋体" w:hAnsi="宋体" w:cs="宋体"/>
                      <w:color w:val="000000"/>
                      <w:kern w:val="0"/>
                      <w:sz w:val="20"/>
                    </w:rPr>
                    <w:t>自然环境</w:t>
                  </w:r>
                  <w:r>
                    <w:rPr>
                      <w:rFonts w:hint="eastAsia"/>
                    </w:rPr>
                    <w:t>☑竞争力</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列举主要的内容</w:t>
                  </w:r>
                </w:p>
              </w:tc>
              <w:tc>
                <w:tcPr>
                  <w:tcW w:w="7147" w:type="dxa"/>
                </w:tcPr>
                <w:p>
                  <w:r>
                    <w:rPr>
                      <w:rFonts w:hint="eastAsia" w:ascii="宋体" w:hAnsi="宋体" w:cs="宋体"/>
                      <w:color w:val="000000"/>
                      <w:kern w:val="0"/>
                      <w:sz w:val="20"/>
                    </w:rPr>
                    <w:t>一系列的社会因素，造成公司人力资源成本越来越高，外来务工人员减少，招工难为本年度公司发展的一大难题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内部环境</w:t>
                  </w:r>
                </w:p>
              </w:tc>
              <w:tc>
                <w:tcPr>
                  <w:tcW w:w="7147" w:type="dxa"/>
                </w:tcPr>
                <w:p>
                  <w:r>
                    <w:rPr>
                      <w:rFonts w:hint="eastAsia" w:ascii="MS Mincho" w:hAnsi="MS Mincho" w:eastAsia="MS Mincho" w:cs="MS Mincho"/>
                    </w:rPr>
                    <w:t>☑</w:t>
                  </w:r>
                  <w:r>
                    <w:rPr>
                      <w:rFonts w:hint="eastAsia" w:ascii="宋体" w:hAnsi="宋体" w:cs="宋体"/>
                      <w:color w:val="000000"/>
                      <w:kern w:val="0"/>
                      <w:sz w:val="20"/>
                    </w:rPr>
                    <w:t>企业文化</w:t>
                  </w:r>
                  <w:r>
                    <w:rPr>
                      <w:rFonts w:hint="eastAsia" w:ascii="MS Mincho" w:hAnsi="MS Mincho" w:eastAsia="MS Mincho" w:cs="MS Mincho"/>
                    </w:rPr>
                    <w:t>☑</w:t>
                  </w:r>
                  <w:r>
                    <w:rPr>
                      <w:rFonts w:hint="eastAsia" w:ascii="宋体" w:hAnsi="宋体" w:cs="宋体"/>
                      <w:color w:val="000000"/>
                      <w:kern w:val="0"/>
                      <w:sz w:val="20"/>
                    </w:rPr>
                    <w:t>公司价值观</w:t>
                  </w:r>
                  <w:r>
                    <w:rPr>
                      <w:rFonts w:hint="eastAsia" w:ascii="MS Mincho" w:hAnsi="MS Mincho" w:eastAsia="MS Mincho" w:cs="MS Mincho"/>
                    </w:rPr>
                    <w:t>☑</w:t>
                  </w:r>
                  <w:r>
                    <w:rPr>
                      <w:rFonts w:hint="eastAsia" w:ascii="宋体" w:hAnsi="宋体" w:cs="宋体"/>
                      <w:color w:val="000000"/>
                      <w:kern w:val="0"/>
                      <w:sz w:val="20"/>
                    </w:rPr>
                    <w:t>知识积累</w:t>
                  </w:r>
                  <w:r>
                    <w:rPr>
                      <w:rFonts w:hint="eastAsia"/>
                    </w:rPr>
                    <w:t xml:space="preserve"> </w:t>
                  </w:r>
                  <w:r>
                    <w:rPr>
                      <w:rFonts w:hint="eastAsia" w:ascii="MS Mincho" w:hAnsi="MS Mincho" w:eastAsia="MS Mincho" w:cs="MS Mincho"/>
                    </w:rPr>
                    <w:t>☑</w:t>
                  </w:r>
                  <w:r>
                    <w:rPr>
                      <w:rFonts w:hint="eastAsia" w:ascii="宋体" w:hAnsi="宋体" w:cs="宋体"/>
                      <w:color w:val="000000"/>
                      <w:kern w:val="0"/>
                      <w:sz w:val="20"/>
                    </w:rPr>
                    <w:t>绩效</w:t>
                  </w:r>
                  <w:r>
                    <w:rPr>
                      <w:rFonts w:hint="eastAsia"/>
                    </w:rPr>
                    <w:t xml:space="preserve"> </w:t>
                  </w:r>
                  <w:r>
                    <w:rPr>
                      <w:rFonts w:hint="eastAsia" w:ascii="MS Mincho" w:hAnsi="MS Mincho" w:eastAsia="MS Mincho" w:cs="MS Mincho"/>
                    </w:rPr>
                    <w:t>☑</w:t>
                  </w:r>
                  <w:r>
                    <w:rPr>
                      <w:rFonts w:hint="eastAsia" w:ascii="宋体" w:hAnsi="宋体" w:cs="宋体"/>
                      <w:color w:val="000000"/>
                      <w:kern w:val="0"/>
                      <w:sz w:val="20"/>
                    </w:rPr>
                    <w:t>财务因素</w:t>
                  </w:r>
                  <w:r>
                    <w:rPr>
                      <w:rFonts w:hint="eastAsia"/>
                    </w:rPr>
                    <w:t xml:space="preserve"> </w:t>
                  </w:r>
                  <w:r>
                    <w:rPr>
                      <w:rFonts w:hint="eastAsia" w:ascii="MS Mincho" w:hAnsi="MS Mincho" w:eastAsia="MS Mincho" w:cs="MS Mincho"/>
                    </w:rPr>
                    <w:t>☑</w:t>
                  </w:r>
                  <w:r>
                    <w:rPr>
                      <w:rFonts w:hint="eastAsia"/>
                    </w:rPr>
                    <w:t>资源因素</w:t>
                  </w:r>
                  <w:r>
                    <w:rPr>
                      <w:rFonts w:hint="eastAsia" w:ascii="MS Mincho" w:hAnsi="MS Mincho" w:eastAsia="MS Mincho" w:cs="MS Mincho"/>
                    </w:rPr>
                    <w:t>☑</w:t>
                  </w:r>
                  <w:r>
                    <w:rPr>
                      <w:rFonts w:hint="eastAsia"/>
                    </w:rPr>
                    <w:t>人力因素</w:t>
                  </w:r>
                  <w:r>
                    <w:rPr>
                      <w:rFonts w:hint="eastAsia" w:ascii="MS Mincho" w:hAnsi="MS Mincho" w:eastAsia="MS Mincho" w:cs="MS Mincho"/>
                    </w:rPr>
                    <w:t>☑</w:t>
                  </w:r>
                  <w:r>
                    <w:rPr>
                      <w:rFonts w:hint="eastAsia" w:ascii="宋体" w:hAnsi="宋体" w:cs="宋体"/>
                      <w:color w:val="000000"/>
                      <w:kern w:val="0"/>
                      <w:sz w:val="20"/>
                    </w:rPr>
                    <w:t>运营因素</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列举主要的内容</w:t>
                  </w:r>
                </w:p>
              </w:tc>
              <w:tc>
                <w:tcPr>
                  <w:tcW w:w="7147" w:type="dxa"/>
                </w:tcPr>
                <w:p>
                  <w:r>
                    <w:rPr>
                      <w:rFonts w:hint="eastAsia" w:ascii="宋体" w:hAnsi="宋体" w:cs="宋体"/>
                      <w:color w:val="000000"/>
                      <w:kern w:val="0"/>
                      <w:sz w:val="20"/>
                    </w:rPr>
                    <w:t>组织机构的内部因素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color w:val="000000"/>
                      <w:szCs w:val="21"/>
                    </w:rPr>
                    <w:t>组织优势说明</w:t>
                  </w:r>
                </w:p>
              </w:tc>
              <w:tc>
                <w:tcPr>
                  <w:tcW w:w="7147" w:type="dxa"/>
                </w:tcPr>
                <w:p>
                  <w:pPr>
                    <w:rPr>
                      <w:rFonts w:ascii="宋体" w:hAnsi="宋体" w:cs="宋体"/>
                      <w:color w:val="000000"/>
                      <w:kern w:val="0"/>
                      <w:sz w:val="20"/>
                    </w:rPr>
                  </w:pPr>
                  <w:r>
                    <w:rPr>
                      <w:rFonts w:hint="eastAsia" w:ascii="宋体" w:hAnsi="宋体" w:cs="宋体"/>
                      <w:color w:val="000000"/>
                      <w:kern w:val="0"/>
                      <w:sz w:val="20"/>
                    </w:rPr>
                    <w:t>有利的竞争态势；充足的财政来源；良好的企业形象；技术力量；规模经济；产品质量；市场份额；成本优势；广告攻势等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color w:val="000000"/>
                      <w:szCs w:val="21"/>
                    </w:rPr>
                    <w:t>组织劣势说明</w:t>
                  </w:r>
                </w:p>
              </w:tc>
              <w:tc>
                <w:tcPr>
                  <w:tcW w:w="7147" w:type="dxa"/>
                </w:tcPr>
                <w:p>
                  <w:r>
                    <w:rPr>
                      <w:rFonts w:hint="eastAsia" w:ascii="宋体" w:hAnsi="宋体" w:cs="宋体"/>
                      <w:color w:val="000000"/>
                      <w:kern w:val="0"/>
                      <w:sz w:val="20"/>
                    </w:rPr>
                    <w:t>设备老化；管理混乱；缺少关键技术；研究开发落后；资金短缺；经营不善；产品积压；竞争力差等</w:t>
                  </w:r>
                  <w:r>
                    <w:rPr>
                      <w:rFonts w:ascii="宋体" w:hAnsi="宋体" w:cs="宋体"/>
                      <w:color w:val="000000"/>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color w:val="000000"/>
                      <w:szCs w:val="21"/>
                    </w:rPr>
                    <w:t>主要风险的说明</w:t>
                  </w:r>
                </w:p>
              </w:tc>
              <w:tc>
                <w:tcPr>
                  <w:tcW w:w="7147" w:type="dxa"/>
                </w:tcPr>
                <w:p>
                  <w:pPr>
                    <w:rPr>
                      <w:rFonts w:ascii="宋体" w:hAnsi="宋体" w:cs="宋体"/>
                      <w:kern w:val="0"/>
                      <w:sz w:val="20"/>
                    </w:rPr>
                  </w:pPr>
                  <w:r>
                    <w:rPr>
                      <w:rFonts w:ascii="宋体" w:hAnsi="宋体" w:cs="宋体"/>
                      <w:kern w:val="0"/>
                      <w:sz w:val="20"/>
                    </w:rPr>
                    <w:t>农业对农业机械的需求量大，如何增强企业的竞争能力是企业目前急需解决的问题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color w:val="000000"/>
                      <w:szCs w:val="21"/>
                    </w:rPr>
                    <w:t>机遇的说明</w:t>
                  </w:r>
                </w:p>
              </w:tc>
              <w:tc>
                <w:tcPr>
                  <w:tcW w:w="7147" w:type="dxa"/>
                </w:tcPr>
                <w:p>
                  <w:pPr>
                    <w:rPr>
                      <w:rFonts w:ascii="宋体" w:hAnsi="宋体" w:cs="宋体"/>
                      <w:color w:val="000000"/>
                      <w:kern w:val="0"/>
                      <w:sz w:val="20"/>
                    </w:rPr>
                  </w:pPr>
                  <w:r>
                    <w:rPr>
                      <w:rFonts w:hint="eastAsia" w:ascii="宋体" w:hAnsi="宋体" w:cs="宋体"/>
                      <w:color w:val="000000"/>
                      <w:kern w:val="0"/>
                      <w:sz w:val="20"/>
                    </w:rPr>
                    <w:t>新产品；新市场；新需求；外国市场壁垒解除；竞争对手失误等。 </w:t>
                  </w:r>
                </w:p>
              </w:tc>
            </w:tr>
          </w:tbl>
          <w:p>
            <w:pPr>
              <w:rPr>
                <w:color w:val="000000"/>
                <w:szCs w:val="21"/>
              </w:rPr>
            </w:pPr>
          </w:p>
          <w:p>
            <w:pPr>
              <w:rPr>
                <w:color w:val="000000"/>
                <w:szCs w:val="21"/>
              </w:rPr>
            </w:pPr>
            <w:r>
              <w:rPr>
                <w:rFonts w:hint="eastAsia"/>
                <w:color w:val="000000"/>
                <w:szCs w:val="21"/>
              </w:rPr>
              <w:t>主要证据体现在</w:t>
            </w:r>
            <w:r>
              <w:rPr>
                <w:rFonts w:hint="eastAsia"/>
              </w:rPr>
              <w:sym w:font="Wingdings" w:char="00FE"/>
            </w:r>
            <w:r>
              <w:rPr>
                <w:rFonts w:hint="eastAsia"/>
              </w:rPr>
              <w:t xml:space="preserve">《组织内外部环境识别表》  </w:t>
            </w:r>
            <w:r>
              <w:rPr>
                <w:rFonts w:hint="eastAsia"/>
              </w:rPr>
              <w:sym w:font="Wingdings" w:char="00FE"/>
            </w:r>
            <w:r>
              <w:rPr>
                <w:rFonts w:hint="eastAsia"/>
              </w:rPr>
              <w:t xml:space="preserve">《公司风险管理的SWOT分析》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理解相关方的需求和期望</w:t>
            </w:r>
          </w:p>
        </w:tc>
        <w:tc>
          <w:tcPr>
            <w:tcW w:w="960" w:type="dxa"/>
            <w:vMerge w:val="restart"/>
          </w:tcPr>
          <w:p>
            <w:r>
              <w:rPr>
                <w:rFonts w:hint="eastAsia"/>
              </w:rPr>
              <w:t xml:space="preserve">Q4.2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《相关方需求和期望控制程序》、</w:t>
            </w:r>
            <w:r>
              <w:rPr>
                <w:rFonts w:hint="eastAsia"/>
              </w:rPr>
              <w:sym w:font="Wingdings" w:char="00FE"/>
            </w:r>
            <w:r>
              <w:rPr>
                <w:rFonts w:hint="eastAsia"/>
              </w:rPr>
              <w:t>管理手册第4.2章</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3805"/>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cyan"/>
                    </w:rPr>
                  </w:pPr>
                  <w:r>
                    <w:rPr>
                      <w:rFonts w:hint="eastAsia"/>
                    </w:rPr>
                    <w:t>重要的相关方</w:t>
                  </w:r>
                </w:p>
              </w:tc>
              <w:tc>
                <w:tcPr>
                  <w:tcW w:w="3805" w:type="dxa"/>
                </w:tcPr>
                <w:p>
                  <w:pPr>
                    <w:rPr>
                      <w:highlight w:val="cyan"/>
                    </w:rPr>
                  </w:pPr>
                  <w:r>
                    <w:rPr>
                      <w:rFonts w:hint="eastAsia"/>
                    </w:rPr>
                    <w:t>相关方名称举例</w:t>
                  </w:r>
                </w:p>
              </w:tc>
              <w:tc>
                <w:tcPr>
                  <w:tcW w:w="3625"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☑上级相关部门和周围居民</w:t>
                  </w:r>
                </w:p>
              </w:tc>
              <w:tc>
                <w:tcPr>
                  <w:tcW w:w="3805" w:type="dxa"/>
                </w:tcPr>
                <w:p>
                  <w:r>
                    <w:rPr>
                      <w:rFonts w:hint="eastAsia"/>
                    </w:rPr>
                    <w:t>如当地环保局，消防大队</w:t>
                  </w:r>
                </w:p>
              </w:tc>
              <w:tc>
                <w:tcPr>
                  <w:tcW w:w="3625" w:type="dxa"/>
                </w:tcPr>
                <w:p>
                  <w:r>
                    <w:rPr>
                      <w:rFonts w:hint="eastAsia"/>
                    </w:rPr>
                    <w:t>☑遵守质量相关的法律法规</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☑供方</w:t>
                  </w:r>
                </w:p>
              </w:tc>
              <w:tc>
                <w:tcPr>
                  <w:tcW w:w="3805" w:type="dxa"/>
                </w:tcPr>
                <w:p>
                  <w:r>
                    <w:rPr>
                      <w:rFonts w:hint="eastAsia"/>
                    </w:rPr>
                    <w:t>例如：</w:t>
                  </w:r>
                  <w:r>
                    <w:rPr>
                      <w:rFonts w:hint="eastAsia" w:ascii="宋体" w:hAnsi="宋体"/>
                      <w:kern w:val="0"/>
                      <w:szCs w:val="21"/>
                    </w:rPr>
                    <w:t>天津市宏达基业钢材贸易有限公司</w:t>
                  </w:r>
                </w:p>
              </w:tc>
              <w:tc>
                <w:tcPr>
                  <w:tcW w:w="3625" w:type="dxa"/>
                </w:tcPr>
                <w:p>
                  <w:r>
                    <w:rPr>
                      <w:rFonts w:hint="eastAsia"/>
                    </w:rPr>
                    <w:t>☑</w:t>
                  </w:r>
                  <w:r>
                    <w:rPr>
                      <w:rFonts w:hint="eastAsia" w:ascii="宋体" w:hAnsi="宋体"/>
                      <w:sz w:val="24"/>
                    </w:rPr>
                    <w:t>产品质量稳定</w:t>
                  </w:r>
                  <w:r>
                    <w:rPr>
                      <w:rFonts w:hint="eastAsia"/>
                    </w:rPr>
                    <w:t xml:space="preserve">   ☑</w:t>
                  </w:r>
                  <w:r>
                    <w:rPr>
                      <w:rFonts w:hint="eastAsia" w:ascii="宋体" w:hAnsi="宋体"/>
                      <w:sz w:val="24"/>
                    </w:rPr>
                    <w:t>价格合理</w:t>
                  </w:r>
                  <w:r>
                    <w:rPr>
                      <w:rFonts w:hint="eastAsia"/>
                    </w:rPr>
                    <w:t xml:space="preserve">                         </w:t>
                  </w:r>
                </w:p>
                <w:p>
                  <w:r>
                    <w:rPr>
                      <w:rFonts w:hint="eastAsia" w:ascii="MS Mincho" w:hAnsi="MS Mincho" w:eastAsia="MS Mincho" w:cs="MS Mincho"/>
                    </w:rPr>
                    <w:t>☑</w:t>
                  </w:r>
                  <w:r>
                    <w:rPr>
                      <w:rFonts w:hint="eastAsia" w:ascii="宋体" w:hAnsi="宋体"/>
                      <w:sz w:val="24"/>
                    </w:rPr>
                    <w:t>试用合格</w:t>
                  </w:r>
                  <w:r>
                    <w:rPr>
                      <w:rFonts w:hint="eastAsia"/>
                    </w:rPr>
                    <w:t xml:space="preserve">       </w:t>
                  </w:r>
                  <w:r>
                    <w:rPr>
                      <w:rFonts w:hint="eastAsia" w:ascii="MS Mincho" w:hAnsi="MS Mincho" w:eastAsia="MS Mincho" w:cs="MS Mincho"/>
                    </w:rPr>
                    <w:t>☑</w:t>
                  </w:r>
                  <w:r>
                    <w:rPr>
                      <w:rFonts w:hint="eastAsia" w:ascii="宋体" w:hAnsi="宋体"/>
                      <w:sz w:val="24"/>
                    </w:rPr>
                    <w:t>售后服务好</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☑顾客</w:t>
                  </w:r>
                </w:p>
              </w:tc>
              <w:tc>
                <w:tcPr>
                  <w:tcW w:w="3805" w:type="dxa"/>
                </w:tcPr>
                <w:p>
                  <w:r>
                    <w:rPr>
                      <w:rFonts w:hint="eastAsia"/>
                    </w:rPr>
                    <w:t>例如：丁四运</w:t>
                  </w:r>
                </w:p>
              </w:tc>
              <w:tc>
                <w:tcPr>
                  <w:tcW w:w="3625" w:type="dxa"/>
                </w:tcPr>
                <w:p>
                  <w:r>
                    <w:rPr>
                      <w:rFonts w:hint="eastAsia"/>
                    </w:rPr>
                    <w:t>☑按时按质按量交付产品或服务；</w:t>
                  </w:r>
                </w:p>
                <w:p>
                  <w:r>
                    <w:rPr>
                      <w:rFonts w:hint="eastAsia"/>
                    </w:rPr>
                    <w:t>☑产品/服务质量持续满足要求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☑外来人员</w:t>
                  </w:r>
                </w:p>
              </w:tc>
              <w:tc>
                <w:tcPr>
                  <w:tcW w:w="3805" w:type="dxa"/>
                </w:tcPr>
                <w:p>
                  <w:r>
                    <w:rPr>
                      <w:rFonts w:hint="eastAsia"/>
                    </w:rPr>
                    <w:t>外来安装施工人员及来公司参观的外来人员</w:t>
                  </w:r>
                </w:p>
              </w:tc>
              <w:tc>
                <w:tcPr>
                  <w:tcW w:w="3625" w:type="dxa"/>
                </w:tcPr>
                <w:p>
                  <w:r>
                    <w:rPr>
                      <w:rFonts w:hint="eastAsia"/>
                    </w:rPr>
                    <w:t>☑遵守公司的环保要求</w:t>
                  </w:r>
                </w:p>
                <w:p>
                  <w:r>
                    <w:rPr>
                      <w:rFonts w:hint="eastAsia"/>
                    </w:rPr>
                    <w:t>☑ 保证安全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t>☑员工</w:t>
                  </w:r>
                </w:p>
              </w:tc>
              <w:tc>
                <w:tcPr>
                  <w:tcW w:w="3805" w:type="dxa"/>
                </w:tcPr>
                <w:p>
                  <w:pPr>
                    <w:rPr>
                      <w:szCs w:val="24"/>
                    </w:rPr>
                  </w:pPr>
                  <w:r>
                    <w:rPr>
                      <w:rFonts w:hint="eastAsia"/>
                      <w:szCs w:val="24"/>
                    </w:rPr>
                    <w:t>员工</w:t>
                  </w:r>
                </w:p>
              </w:tc>
              <w:tc>
                <w:tcPr>
                  <w:tcW w:w="3625" w:type="dxa"/>
                </w:tcPr>
                <w:p>
                  <w:r>
                    <w:rPr>
                      <w:rFonts w:hint="eastAsia"/>
                    </w:rPr>
                    <w:t>☑组织的持续经营、自我发展</w:t>
                  </w:r>
                </w:p>
                <w:p>
                  <w:r>
                    <w:rPr>
                      <w:rFonts w:hint="eastAsia"/>
                    </w:rPr>
                    <w:t xml:space="preserve">☑薪资、福利增加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☑审核机构</w:t>
                  </w:r>
                </w:p>
              </w:tc>
              <w:tc>
                <w:tcPr>
                  <w:tcW w:w="3805" w:type="dxa"/>
                </w:tcPr>
                <w:p>
                  <w:r>
                    <w:t>国标联合认证</w:t>
                  </w:r>
                </w:p>
              </w:tc>
              <w:tc>
                <w:tcPr>
                  <w:tcW w:w="3625" w:type="dxa"/>
                </w:tcPr>
                <w:p>
                  <w:r>
                    <w:rPr>
                      <w:rFonts w:hint="eastAsia"/>
                    </w:rPr>
                    <w:t>☑公司体系运作的有效性、充分性和符合性</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3805" w:type="dxa"/>
                </w:tcPr>
                <w:p/>
              </w:tc>
              <w:tc>
                <w:tcPr>
                  <w:tcW w:w="3625" w:type="dxa"/>
                </w:tcPr>
                <w:p/>
              </w:tc>
            </w:tr>
          </w:tbl>
          <w:p>
            <w:pPr>
              <w:rPr>
                <w:color w:val="000000"/>
                <w:szCs w:val="21"/>
              </w:rPr>
            </w:pPr>
          </w:p>
          <w:p>
            <w:pPr>
              <w:rPr>
                <w:color w:val="000000"/>
                <w:szCs w:val="21"/>
              </w:rPr>
            </w:pPr>
            <w:r>
              <w:rPr>
                <w:rFonts w:hint="eastAsia"/>
                <w:color w:val="000000"/>
                <w:szCs w:val="21"/>
              </w:rPr>
              <w:t>主要证据体现在</w:t>
            </w:r>
            <w:r>
              <w:rPr>
                <w:rFonts w:hint="eastAsia"/>
              </w:rPr>
              <w:sym w:font="Wingdings" w:char="00FE"/>
            </w:r>
            <w:r>
              <w:rPr>
                <w:rFonts w:hint="eastAsia"/>
              </w:rPr>
              <w:t xml:space="preserve">《相关方的需求和期望清单》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确定质量管理体系的范围</w:t>
            </w:r>
          </w:p>
        </w:tc>
        <w:tc>
          <w:tcPr>
            <w:tcW w:w="960" w:type="dxa"/>
            <w:vMerge w:val="restart"/>
          </w:tcPr>
          <w:p>
            <w:r>
              <w:rPr>
                <w:rFonts w:hint="eastAsia"/>
              </w:rPr>
              <w:t>Q4.3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管理手册第4.3章和</w:t>
            </w:r>
            <w:r>
              <w:rPr>
                <w:rFonts w:hint="eastAsia"/>
              </w:rPr>
              <w:sym w:font="Wingdings" w:char="00FE"/>
            </w:r>
            <w:r>
              <w:rPr>
                <w:rFonts w:hint="eastAsia"/>
              </w:rPr>
              <w:t>0.4“公司概况”</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组织应明确相关管理体系的范围；</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7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7132" w:type="dxa"/>
                </w:tcPr>
                <w:p>
                  <w:r>
                    <w:rPr>
                      <w:rFonts w:hint="eastAsia"/>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7132" w:type="dxa"/>
                </w:tcPr>
                <w:p>
                  <w:r>
                    <w:rPr>
                      <w:rFonts w:hint="eastAsia"/>
                    </w:rPr>
                    <w:t>农业机械（喷雾机、精播机、玉米机 、大豆机 、撒肥机）的制造（资质许可范围内）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注册地址</w:t>
                  </w:r>
                </w:p>
              </w:tc>
              <w:tc>
                <w:tcPr>
                  <w:tcW w:w="7132" w:type="dxa"/>
                </w:tcPr>
                <w:p>
                  <w:pPr>
                    <w:rPr>
                      <w:rFonts w:hint="eastAsia"/>
                      <w:szCs w:val="22"/>
                    </w:rPr>
                  </w:pPr>
                  <w:r>
                    <w:rPr>
                      <w:rFonts w:hint="eastAsia"/>
                      <w:szCs w:val="22"/>
                    </w:rPr>
                    <w:t>宿州市时村镇西湖商业街中段路西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经营地址</w:t>
                  </w:r>
                </w:p>
              </w:tc>
              <w:tc>
                <w:tcPr>
                  <w:tcW w:w="7132" w:type="dxa"/>
                </w:tcPr>
                <w:p>
                  <w:pPr>
                    <w:rPr>
                      <w:rFonts w:hint="eastAsia"/>
                      <w:szCs w:val="22"/>
                    </w:rPr>
                  </w:pPr>
                  <w:r>
                    <w:rPr>
                      <w:rFonts w:hint="eastAsia"/>
                      <w:szCs w:val="22"/>
                    </w:rPr>
                    <w:t>宿州市时村镇西湖商业街中段路西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7132" w:type="dxa"/>
                </w:tcPr>
                <w:p>
                  <w:r>
                    <w:rPr>
                      <w:rFonts w:hint="eastAsia"/>
                    </w:rPr>
                    <w:sym w:font="Wingdings" w:char="00FE"/>
                  </w:r>
                  <w:r>
                    <w:rPr>
                      <w:rFonts w:hint="eastAsia"/>
                    </w:rPr>
                    <w:t>与组织结构图一致</w:t>
                  </w:r>
                </w:p>
                <w:p>
                  <w:pPr>
                    <w:rPr>
                      <w:u w:val="single"/>
                    </w:rPr>
                  </w:pPr>
                  <w:r>
                    <w:rPr>
                      <w:rFonts w:hint="eastAsia"/>
                    </w:rPr>
                    <w:sym w:font="Wingdings" w:char="00A8"/>
                  </w:r>
                  <w:r>
                    <w:rPr>
                      <w:rFonts w:hint="eastAsia"/>
                    </w:rPr>
                    <w:t xml:space="preserve">分支机构，如： </w:t>
                  </w:r>
                </w:p>
                <w:p>
                  <w:r>
                    <w:rPr>
                      <w:rFonts w:hint="eastAsia"/>
                    </w:rPr>
                    <w:sym w:font="Wingdings" w:char="00A8"/>
                  </w:r>
                  <w:r>
                    <w:rPr>
                      <w:rFonts w:hint="eastAsia"/>
                    </w:rPr>
                    <w:t xml:space="preserve">临时场所，如：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7132" w:type="dxa"/>
                </w:tcPr>
                <w:p>
                  <w:r>
                    <w:rPr>
                      <w:rFonts w:hint="eastAsia"/>
                    </w:rPr>
                    <w:sym w:font="Wingdings" w:char="00A8"/>
                  </w:r>
                  <w:r>
                    <w:rPr>
                      <w:rFonts w:hint="eastAsia"/>
                    </w:rPr>
                    <w:t xml:space="preserve"> 体系建立以来</w:t>
                  </w:r>
                </w:p>
                <w:p>
                  <w:r>
                    <w:rPr>
                      <w:rFonts w:hint="eastAsia"/>
                    </w:rPr>
                    <w:sym w:font="Wingdings" w:char="00FE"/>
                  </w:r>
                  <w:r>
                    <w:rPr>
                      <w:rFonts w:hint="eastAsia"/>
                    </w:rPr>
                    <w:t>近一年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不适用ISO9001的条款</w:t>
                  </w:r>
                </w:p>
              </w:tc>
              <w:tc>
                <w:tcPr>
                  <w:tcW w:w="7132" w:type="dxa"/>
                </w:tcPr>
                <w:p>
                  <w:r>
                    <w:rPr>
                      <w:rFonts w:hint="eastAsia"/>
                    </w:rPr>
                    <w:sym w:font="Wingdings" w:char="00FE"/>
                  </w:r>
                  <w:r>
                    <w:rPr>
                      <w:rFonts w:hint="eastAsia"/>
                    </w:rPr>
                    <w:t>无不适用条款</w:t>
                  </w:r>
                </w:p>
                <w:p>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不适用的理由（可多选）</w:t>
                  </w:r>
                </w:p>
              </w:tc>
              <w:tc>
                <w:tcPr>
                  <w:tcW w:w="7132" w:type="dxa"/>
                  <w:vAlign w:val="center"/>
                </w:tcPr>
                <w:p>
                  <w:r>
                    <w:rPr>
                      <w:rFonts w:hint="eastAsia"/>
                    </w:rPr>
                    <w:sym w:font="Wingdings" w:char="00FE"/>
                  </w:r>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□其他：</w:t>
                  </w:r>
                </w:p>
              </w:tc>
            </w:tr>
          </w:tbl>
          <w:p/>
          <w:p>
            <w:pPr>
              <w:rPr>
                <w:color w:val="000000"/>
                <w:szCs w:val="21"/>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质量管理体系及其过程</w:t>
            </w:r>
          </w:p>
        </w:tc>
        <w:tc>
          <w:tcPr>
            <w:tcW w:w="960" w:type="dxa"/>
            <w:vMerge w:val="restart"/>
          </w:tcPr>
          <w:p>
            <w:r>
              <w:rPr>
                <w:rFonts w:hint="eastAsia"/>
              </w:rPr>
              <w:t xml:space="preserve">Q4.4 </w:t>
            </w:r>
          </w:p>
        </w:tc>
        <w:tc>
          <w:tcPr>
            <w:tcW w:w="745" w:type="dxa"/>
          </w:tcPr>
          <w:p>
            <w:r>
              <w:rPr>
                <w:rFonts w:hint="eastAsia"/>
              </w:rPr>
              <w:t>文件名称</w:t>
            </w:r>
          </w:p>
        </w:tc>
        <w:tc>
          <w:tcPr>
            <w:tcW w:w="9259" w:type="dxa"/>
          </w:tcPr>
          <w:p>
            <w:r>
              <w:rPr>
                <w:rFonts w:hint="eastAsia"/>
              </w:rPr>
              <w:t>如：</w:t>
            </w:r>
            <w:r>
              <w:rPr>
                <w:rFonts w:hint="eastAsia" w:ascii="MS Gothic" w:hAnsi="MS Gothic" w:eastAsia="MS Gothic" w:cs="MS Gothic"/>
              </w:rPr>
              <w:t>☑</w:t>
            </w:r>
            <w:r>
              <w:rPr>
                <w:rFonts w:hint="eastAsia" w:ascii="宋体" w:hAnsi="宋体" w:cs="宋体"/>
              </w:rPr>
              <w:t>管理手册第</w:t>
            </w:r>
            <w:r>
              <w:rPr>
                <w:rFonts w:hint="eastAsia"/>
              </w:rPr>
              <w:t>4.4章和</w:t>
            </w:r>
            <w:r>
              <w:rPr>
                <w:rFonts w:hint="eastAsia" w:ascii="MS Gothic" w:hAnsi="MS Gothic" w:eastAsia="MS Gothic" w:cs="MS Gothic"/>
              </w:rPr>
              <w:t>☑</w:t>
            </w:r>
            <w:r>
              <w:rPr>
                <w:rFonts w:hint="eastAsia"/>
              </w:rPr>
              <w:t>《风险和机遇分析表》</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rPr>
                <w:b/>
                <w:bCs/>
              </w:rPr>
            </w:pPr>
            <w:r>
              <w:rPr>
                <w:rFonts w:hint="eastAsia"/>
              </w:rPr>
              <w:t>☑订单评审过程 ☑制造过程 ☑交付和顾客反馈过程 ☑经营计划过程☑内部审核过程 ☑管理评审过程 ☑文件记录管理过程 ☑人力资源管理过程 ☑采购过程 ☑检验过程 ☑设备工装管理过程☑检验设备管理过程☑不合格管理过程☑改进过程</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□新产品设计开发 □原材料订制 □生产/服务过程 □检验检测□产品运输 □设备维修</w:t>
            </w:r>
          </w:p>
          <w:p>
            <w:pPr>
              <w:spacing w:before="40" w:after="40"/>
            </w:pPr>
            <w:r>
              <w:rPr>
                <w:rFonts w:hint="eastAsia"/>
              </w:rPr>
              <w:t>□人员培训 □其他</w:t>
            </w:r>
          </w:p>
          <w:p>
            <w:pPr>
              <w:rPr>
                <w:highlight w:val="cyan"/>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领导作用与承诺</w:t>
            </w:r>
          </w:p>
        </w:tc>
        <w:tc>
          <w:tcPr>
            <w:tcW w:w="960" w:type="dxa"/>
            <w:vMerge w:val="restart"/>
          </w:tcPr>
          <w:p>
            <w:r>
              <w:rPr>
                <w:rFonts w:hint="eastAsia"/>
              </w:rPr>
              <w:t>Q5.1  </w:t>
            </w:r>
          </w:p>
        </w:tc>
        <w:tc>
          <w:tcPr>
            <w:tcW w:w="745" w:type="dxa"/>
          </w:tcPr>
          <w:p>
            <w:r>
              <w:rPr>
                <w:rFonts w:hint="eastAsia"/>
              </w:rPr>
              <w:t>文件名称</w:t>
            </w:r>
          </w:p>
        </w:tc>
        <w:tc>
          <w:tcPr>
            <w:tcW w:w="9259" w:type="dxa"/>
          </w:tcPr>
          <w:p>
            <w:r>
              <w:rPr>
                <w:rFonts w:hint="eastAsia"/>
              </w:rPr>
              <w:t>如：☑管理手册第5.1章和☑“总经理岗位职责”</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 与最高管理者沟通其领导作用与承诺：</w:t>
            </w:r>
          </w:p>
          <w:p>
            <w:pPr>
              <w:rPr>
                <w:color w:val="000000"/>
                <w:szCs w:val="21"/>
              </w:rPr>
            </w:pPr>
            <w:r>
              <w:rPr>
                <w:rFonts w:hint="eastAsia"/>
                <w:color w:val="000000"/>
                <w:szCs w:val="21"/>
              </w:rPr>
              <w:sym w:font="Wingdings" w:char="00FE"/>
            </w:r>
            <w:r>
              <w:rPr>
                <w:rFonts w:hint="eastAsia"/>
                <w:color w:val="000000"/>
                <w:szCs w:val="21"/>
              </w:rPr>
              <w:t xml:space="preserve">对质量管理体系的有效性承担责任； </w:t>
            </w:r>
          </w:p>
          <w:p>
            <w:pPr>
              <w:rPr>
                <w:color w:val="000000"/>
                <w:szCs w:val="21"/>
              </w:rPr>
            </w:pPr>
            <w:r>
              <w:rPr>
                <w:rFonts w:hint="eastAsia"/>
                <w:color w:val="000000"/>
                <w:szCs w:val="21"/>
              </w:rPr>
              <w:sym w:font="Wingdings" w:char="00FE"/>
            </w:r>
            <w:r>
              <w:rPr>
                <w:rFonts w:hint="eastAsia"/>
                <w:color w:val="000000"/>
                <w:szCs w:val="21"/>
              </w:rPr>
              <w:t xml:space="preserve">确保制定质量管理体系的质量方针和质量目标，并与组织的环境和战略方向相一致； </w:t>
            </w:r>
          </w:p>
          <w:p>
            <w:pPr>
              <w:rPr>
                <w:color w:val="000000"/>
                <w:szCs w:val="21"/>
              </w:rPr>
            </w:pPr>
            <w:r>
              <w:rPr>
                <w:rFonts w:hint="eastAsia"/>
                <w:color w:val="000000"/>
                <w:szCs w:val="21"/>
              </w:rPr>
              <w:sym w:font="Wingdings" w:char="00FE"/>
            </w:r>
            <w:r>
              <w:rPr>
                <w:rFonts w:hint="eastAsia"/>
                <w:color w:val="000000"/>
                <w:szCs w:val="21"/>
              </w:rPr>
              <w:t xml:space="preserve">确保质量管理体系要求融入组织的业务过程；  </w:t>
            </w:r>
          </w:p>
          <w:p>
            <w:pPr>
              <w:rPr>
                <w:color w:val="000000"/>
                <w:szCs w:val="21"/>
              </w:rPr>
            </w:pPr>
            <w:r>
              <w:rPr>
                <w:rFonts w:hint="eastAsia"/>
                <w:color w:val="000000"/>
                <w:szCs w:val="21"/>
              </w:rPr>
              <w:sym w:font="Wingdings" w:char="00FE"/>
            </w:r>
            <w:r>
              <w:rPr>
                <w:rFonts w:hint="eastAsia"/>
                <w:color w:val="000000"/>
                <w:szCs w:val="21"/>
              </w:rPr>
              <w:t xml:space="preserve">促进使用过程方法和基于风险的思维； </w:t>
            </w:r>
          </w:p>
          <w:p>
            <w:pPr>
              <w:rPr>
                <w:color w:val="000000"/>
                <w:szCs w:val="21"/>
              </w:rPr>
            </w:pPr>
            <w:r>
              <w:rPr>
                <w:rFonts w:hint="eastAsia"/>
                <w:color w:val="000000"/>
                <w:szCs w:val="21"/>
              </w:rPr>
              <w:sym w:font="Wingdings" w:char="00FE"/>
            </w:r>
            <w:r>
              <w:rPr>
                <w:rFonts w:hint="eastAsia"/>
                <w:color w:val="000000"/>
                <w:szCs w:val="21"/>
              </w:rPr>
              <w:t xml:space="preserve">确保质量管理体系所需的资源是可用的； </w:t>
            </w:r>
          </w:p>
          <w:p>
            <w:pPr>
              <w:rPr>
                <w:color w:val="000000"/>
                <w:szCs w:val="21"/>
              </w:rPr>
            </w:pPr>
            <w:r>
              <w:rPr>
                <w:rFonts w:hint="eastAsia"/>
                <w:color w:val="000000"/>
                <w:szCs w:val="21"/>
              </w:rPr>
              <w:sym w:font="Wingdings" w:char="00FE"/>
            </w:r>
            <w:r>
              <w:rPr>
                <w:rFonts w:hint="eastAsia"/>
                <w:color w:val="000000"/>
                <w:szCs w:val="21"/>
              </w:rPr>
              <w:t>沟通有效的质量管理和符合质量管理体系要求的重要性；</w:t>
            </w:r>
          </w:p>
          <w:p>
            <w:pPr>
              <w:rPr>
                <w:color w:val="000000"/>
                <w:szCs w:val="21"/>
              </w:rPr>
            </w:pPr>
            <w:r>
              <w:rPr>
                <w:rFonts w:hint="eastAsia"/>
                <w:color w:val="000000"/>
                <w:szCs w:val="21"/>
              </w:rPr>
              <w:sym w:font="Wingdings" w:char="00FE"/>
            </w:r>
            <w:r>
              <w:rPr>
                <w:rFonts w:hint="eastAsia"/>
                <w:color w:val="000000"/>
                <w:szCs w:val="21"/>
              </w:rPr>
              <w:t>确保质量管理体系实现其预期结果；</w:t>
            </w:r>
          </w:p>
          <w:p>
            <w:pPr>
              <w:rPr>
                <w:color w:val="000000"/>
                <w:szCs w:val="21"/>
              </w:rPr>
            </w:pPr>
            <w:r>
              <w:rPr>
                <w:rFonts w:hint="eastAsia"/>
                <w:color w:val="000000"/>
                <w:szCs w:val="21"/>
              </w:rPr>
              <w:sym w:font="Wingdings" w:char="00FE"/>
            </w:r>
            <w:r>
              <w:rPr>
                <w:rFonts w:hint="eastAsia"/>
                <w:color w:val="000000"/>
                <w:szCs w:val="21"/>
              </w:rPr>
              <w:t>促使员工积极参与、指导和支持他们为质量管理体系的有效性作出贡献；</w:t>
            </w:r>
          </w:p>
          <w:p>
            <w:pPr>
              <w:rPr>
                <w:color w:val="000000"/>
                <w:szCs w:val="21"/>
              </w:rPr>
            </w:pPr>
            <w:r>
              <w:rPr>
                <w:rFonts w:hint="eastAsia"/>
                <w:color w:val="000000"/>
                <w:szCs w:val="21"/>
              </w:rPr>
              <w:sym w:font="Wingdings" w:char="00FE"/>
            </w:r>
            <w:r>
              <w:rPr>
                <w:rFonts w:hint="eastAsia"/>
                <w:color w:val="000000"/>
                <w:szCs w:val="21"/>
              </w:rPr>
              <w:t>推动改进；</w:t>
            </w:r>
          </w:p>
          <w:p>
            <w:pPr>
              <w:rPr>
                <w:color w:val="000000"/>
                <w:szCs w:val="21"/>
              </w:rPr>
            </w:pPr>
            <w:r>
              <w:rPr>
                <w:rFonts w:hint="eastAsia"/>
                <w:color w:val="000000"/>
                <w:szCs w:val="21"/>
              </w:rPr>
              <w:sym w:font="Wingdings" w:char="00FE"/>
            </w:r>
            <w:r>
              <w:rPr>
                <w:rFonts w:hint="eastAsia"/>
                <w:color w:val="000000"/>
                <w:szCs w:val="21"/>
              </w:rPr>
              <w:t>支持其他相关管理者在其职责范围内发挥领导作用。</w:t>
            </w:r>
          </w:p>
          <w:p>
            <w:pPr>
              <w:rPr>
                <w:color w:val="000000"/>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以顾客为关注焦点</w:t>
            </w:r>
          </w:p>
          <w:p/>
        </w:tc>
        <w:tc>
          <w:tcPr>
            <w:tcW w:w="960" w:type="dxa"/>
            <w:vMerge w:val="restart"/>
          </w:tcPr>
          <w:p>
            <w:r>
              <w:rPr>
                <w:rFonts w:hint="eastAsia"/>
              </w:rPr>
              <w:t>Q5.1.2  </w:t>
            </w:r>
          </w:p>
        </w:tc>
        <w:tc>
          <w:tcPr>
            <w:tcW w:w="745" w:type="dxa"/>
          </w:tcPr>
          <w:p>
            <w:r>
              <w:rPr>
                <w:rFonts w:hint="eastAsia"/>
              </w:rPr>
              <w:t>文件名称</w:t>
            </w:r>
          </w:p>
        </w:tc>
        <w:tc>
          <w:tcPr>
            <w:tcW w:w="9259" w:type="dxa"/>
          </w:tcPr>
          <w:p>
            <w:r>
              <w:rPr>
                <w:rFonts w:hint="eastAsia"/>
              </w:rPr>
              <w:t>如：☑管理手册第5.1章</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 最高管理者证实其以顾客为关注焦点的领导作用和承诺：</w:t>
            </w:r>
          </w:p>
          <w:p>
            <w:pPr>
              <w:rPr>
                <w:color w:val="000000"/>
                <w:szCs w:val="21"/>
              </w:rPr>
            </w:pPr>
            <w:r>
              <w:rPr>
                <w:rFonts w:hint="eastAsia"/>
              </w:rPr>
              <w:t>☑</w:t>
            </w:r>
            <w:r>
              <w:rPr>
                <w:rFonts w:hint="eastAsia"/>
                <w:color w:val="000000"/>
                <w:szCs w:val="21"/>
              </w:rPr>
              <w:t xml:space="preserve">确定、理解并持续地满足顾客要求以及适用的法律法规要求； </w:t>
            </w:r>
          </w:p>
          <w:p>
            <w:pPr>
              <w:rPr>
                <w:color w:val="000000"/>
                <w:szCs w:val="21"/>
              </w:rPr>
            </w:pPr>
            <w:r>
              <w:rPr>
                <w:rFonts w:hint="eastAsia"/>
              </w:rPr>
              <w:t>☑</w:t>
            </w:r>
            <w:r>
              <w:rPr>
                <w:rFonts w:hint="eastAsia"/>
                <w:color w:val="000000"/>
                <w:szCs w:val="21"/>
              </w:rPr>
              <w:t xml:space="preserve">确定和应对能够影响产品和服务的符合性以及增强顾客满意能力的风险和机遇； </w:t>
            </w:r>
          </w:p>
          <w:p>
            <w:pPr>
              <w:rPr>
                <w:color w:val="000000"/>
                <w:szCs w:val="21"/>
              </w:rPr>
            </w:pPr>
            <w:r>
              <w:rPr>
                <w:rFonts w:hint="eastAsia"/>
              </w:rPr>
              <w:t>☑</w:t>
            </w:r>
            <w:r>
              <w:rPr>
                <w:rFonts w:hint="eastAsia"/>
                <w:color w:val="000000"/>
                <w:szCs w:val="21"/>
              </w:rPr>
              <w:t xml:space="preserve">始终致力于增强顾客满意。 </w:t>
            </w:r>
          </w:p>
          <w:p>
            <w:pPr>
              <w:rPr>
                <w:color w:val="000000"/>
                <w:szCs w:val="21"/>
              </w:rPr>
            </w:pPr>
            <w:r>
              <w:rPr>
                <w:rFonts w:hint="eastAsia"/>
              </w:rPr>
              <w:t>通过的方式——</w:t>
            </w:r>
          </w:p>
          <w:p>
            <w:pPr>
              <w:rPr>
                <w:color w:val="000000"/>
                <w:szCs w:val="21"/>
              </w:rPr>
            </w:pPr>
            <w:r>
              <w:rPr>
                <w:rFonts w:hint="eastAsia"/>
              </w:rPr>
              <w:t>☑以身作则 ☑建立机制 ☑法规宣传 ☑风险机遇的应对 ☑重视顾客反馈 ☑目标考核 □其他</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方针</w:t>
            </w:r>
          </w:p>
        </w:tc>
        <w:tc>
          <w:tcPr>
            <w:tcW w:w="960" w:type="dxa"/>
            <w:vMerge w:val="restart"/>
          </w:tcPr>
          <w:p>
            <w:r>
              <w:rPr>
                <w:rFonts w:hint="eastAsia"/>
              </w:rPr>
              <w:t>Q5.2  </w:t>
            </w:r>
          </w:p>
        </w:tc>
        <w:tc>
          <w:tcPr>
            <w:tcW w:w="745" w:type="dxa"/>
          </w:tcPr>
          <w:p>
            <w:r>
              <w:rPr>
                <w:rFonts w:hint="eastAsia"/>
              </w:rPr>
              <w:t>文件名称</w:t>
            </w:r>
          </w:p>
        </w:tc>
        <w:tc>
          <w:tcPr>
            <w:tcW w:w="9259" w:type="dxa"/>
          </w:tcPr>
          <w:p>
            <w:r>
              <w:rPr>
                <w:rFonts w:hint="eastAsia"/>
              </w:rPr>
              <w:t>如：☑管理手册第5.2章 ☑质量方针</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u w:val="single"/>
              </w:rPr>
            </w:pPr>
            <w:r>
              <w:rPr>
                <w:rFonts w:hint="eastAsia"/>
              </w:rPr>
              <w:t>最高管理者制定了文件化的管理体系方针：</w:t>
            </w:r>
          </w:p>
          <w:p>
            <w:pPr>
              <w:adjustRightInd w:val="0"/>
              <w:snapToGrid w:val="0"/>
              <w:spacing w:line="360" w:lineRule="auto"/>
              <w:ind w:firstLine="422" w:firstLineChars="200"/>
              <w:rPr>
                <w:b/>
                <w:u w:val="single"/>
              </w:rPr>
            </w:pPr>
            <w:r>
              <w:rPr>
                <w:rFonts w:hint="eastAsia"/>
                <w:b/>
                <w:u w:val="single"/>
              </w:rPr>
              <w:t>践行工匠精神、尊重产品的品质灵魂。</w:t>
            </w:r>
          </w:p>
          <w:p>
            <w:r>
              <w:rPr>
                <w:rFonts w:hint="eastAsia"/>
              </w:rPr>
              <w:t>☑适应组织的宗旨和环境并支持其战略方向</w:t>
            </w:r>
          </w:p>
          <w:p>
            <w:pPr>
              <w:rPr>
                <w:lang w:val="en-GB"/>
              </w:rPr>
            </w:pPr>
            <w:r>
              <w:rPr>
                <w:rFonts w:hint="eastAsia"/>
              </w:rPr>
              <w:t>☑</w:t>
            </w:r>
            <w:r>
              <w:rPr>
                <w:rFonts w:hint="eastAsia"/>
                <w:lang w:val="en-GB"/>
              </w:rPr>
              <w:t>质量方针合理恰当并为相应的质量目标提供了框架。</w:t>
            </w:r>
          </w:p>
          <w:p>
            <w:r>
              <w:rPr>
                <w:rFonts w:hint="eastAsia"/>
              </w:rPr>
              <w:t xml:space="preserve">☑包括满足适用要求的承诺； </w:t>
            </w:r>
          </w:p>
          <w:p>
            <w:pPr>
              <w:rPr>
                <w:lang w:val="en-GB"/>
              </w:rPr>
            </w:pPr>
            <w:r>
              <w:rPr>
                <w:rFonts w:hint="eastAsia"/>
              </w:rPr>
              <w:t>☑包括持续改进质量管理体系的承诺</w:t>
            </w:r>
          </w:p>
          <w:p/>
          <w:p>
            <w:r>
              <w:rPr>
                <w:rFonts w:hint="eastAsia"/>
              </w:rPr>
              <w:t>☑在组织内得到沟通、理解和应用，通过：</w:t>
            </w:r>
            <w:r>
              <w:rPr>
                <w:rFonts w:hint="eastAsia"/>
              </w:rPr>
              <w:sym w:font="Wingdings" w:char="00FE"/>
            </w:r>
            <w:r>
              <w:rPr>
                <w:rFonts w:hint="eastAsia"/>
              </w:rPr>
              <w:t xml:space="preserve">展板  </w:t>
            </w:r>
            <w:r>
              <w:rPr>
                <w:rFonts w:hint="eastAsia"/>
              </w:rPr>
              <w:sym w:font="Wingdings" w:char="00FE"/>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 xml:space="preserve">其他  </w:t>
            </w:r>
          </w:p>
          <w:p>
            <w:r>
              <w:rPr>
                <w:rFonts w:hint="eastAsia"/>
              </w:rPr>
              <w:t>☑在相关方有需要时提供。通过：</w:t>
            </w:r>
            <w:r>
              <w:rPr>
                <w:rFonts w:hint="eastAsia"/>
              </w:rPr>
              <w:sym w:font="Wingdings" w:char="00FE"/>
            </w:r>
            <w:r>
              <w:rPr>
                <w:rFonts w:hint="eastAsia"/>
              </w:rPr>
              <w:t xml:space="preserve">网站 </w:t>
            </w:r>
            <w:r>
              <w:rPr>
                <w:rFonts w:hint="eastAsia"/>
              </w:rPr>
              <w:sym w:font="Wingdings" w:char="00FE"/>
            </w:r>
            <w:r>
              <w:rPr>
                <w:rFonts w:hint="eastAsia"/>
              </w:rPr>
              <w:t xml:space="preserve">宣传册 </w:t>
            </w:r>
            <w:r>
              <w:rPr>
                <w:rFonts w:hint="eastAsia"/>
              </w:rPr>
              <w:sym w:font="Wingdings" w:char="00A8"/>
            </w:r>
            <w:r>
              <w:rPr>
                <w:rFonts w:hint="eastAsia"/>
              </w:rPr>
              <w:t>其他</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组织的岗位、职责和权限</w:t>
            </w:r>
          </w:p>
          <w:p/>
        </w:tc>
        <w:tc>
          <w:tcPr>
            <w:tcW w:w="960" w:type="dxa"/>
            <w:vMerge w:val="restart"/>
          </w:tcPr>
          <w:p>
            <w:r>
              <w:rPr>
                <w:rFonts w:hint="eastAsia"/>
              </w:rPr>
              <w:t>Q5.3  </w:t>
            </w:r>
          </w:p>
        </w:tc>
        <w:tc>
          <w:tcPr>
            <w:tcW w:w="745" w:type="dxa"/>
          </w:tcPr>
          <w:p>
            <w:r>
              <w:rPr>
                <w:rFonts w:hint="eastAsia"/>
              </w:rPr>
              <w:t>文件名称</w:t>
            </w:r>
          </w:p>
        </w:tc>
        <w:tc>
          <w:tcPr>
            <w:tcW w:w="9259" w:type="dxa"/>
          </w:tcPr>
          <w:p>
            <w:pPr>
              <w:jc w:val="left"/>
            </w:pPr>
            <w:r>
              <w:rPr>
                <w:rFonts w:hint="eastAsia"/>
              </w:rPr>
              <w:t>如：☑管理手册第5.3章，☑《</w:t>
            </w:r>
            <w:r>
              <w:rPr>
                <w:rFonts w:hint="eastAsia"/>
                <w:szCs w:val="22"/>
              </w:rPr>
              <w:t>岗位职责和任职要求</w:t>
            </w:r>
            <w:r>
              <w:rPr>
                <w:rFonts w:hint="eastAsia"/>
              </w:rPr>
              <w:t>》</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最高管理者确定了组织架构及相关岗位的职责、权限，并进行了全员的沟通和理解；</w:t>
            </w:r>
          </w:p>
          <w:p>
            <w:r>
              <w:rPr>
                <w:rFonts w:hint="eastAsia"/>
              </w:rPr>
              <w:t>如：</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检验过程</w:t>
                  </w:r>
                </w:p>
              </w:tc>
              <w:tc>
                <w:tcPr>
                  <w:tcW w:w="2261" w:type="dxa"/>
                </w:tcPr>
                <w:p>
                  <w:r>
                    <w:rPr>
                      <w:rFonts w:hint="eastAsia"/>
                    </w:rPr>
                    <w:t>品质部</w:t>
                  </w:r>
                </w:p>
              </w:tc>
              <w:tc>
                <w:tcPr>
                  <w:tcW w:w="2261" w:type="dxa"/>
                </w:tcPr>
                <w:p>
                  <w:r>
                    <w:rPr>
                      <w:rFonts w:hint="eastAsia"/>
                    </w:rPr>
                    <w:t>人力资源管理过程</w:t>
                  </w:r>
                </w:p>
              </w:tc>
              <w:tc>
                <w:tcPr>
                  <w:tcW w:w="2261" w:type="dxa"/>
                </w:tcPr>
                <w:p>
                  <w:r>
                    <w:rPr>
                      <w:rFonts w:hint="eastAsia"/>
                    </w:rPr>
                    <w:t>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顾客满意调查分析</w:t>
                  </w:r>
                </w:p>
              </w:tc>
              <w:tc>
                <w:tcPr>
                  <w:tcW w:w="2261" w:type="dxa"/>
                </w:tcPr>
                <w:p>
                  <w:r>
                    <w:rPr>
                      <w:rFonts w:hint="eastAsia"/>
                    </w:rPr>
                    <w:t>销售部</w:t>
                  </w:r>
                </w:p>
              </w:tc>
              <w:tc>
                <w:tcPr>
                  <w:tcW w:w="2261" w:type="dxa"/>
                </w:tcPr>
                <w:p>
                  <w:r>
                    <w:rPr>
                      <w:rFonts w:hint="eastAsia"/>
                    </w:rPr>
                    <w:t>生产/服务提供过程</w:t>
                  </w:r>
                </w:p>
              </w:tc>
              <w:tc>
                <w:tcPr>
                  <w:tcW w:w="2261" w:type="dxa"/>
                </w:tcPr>
                <w:p>
                  <w:r>
                    <w:rPr>
                      <w:rFonts w:hint="eastAsia"/>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外部供方控制</w:t>
                  </w:r>
                </w:p>
              </w:tc>
              <w:tc>
                <w:tcPr>
                  <w:tcW w:w="2261" w:type="dxa"/>
                </w:tcPr>
                <w:p>
                  <w:r>
                    <w:rPr>
                      <w:rFonts w:hint="eastAsia"/>
                    </w:rPr>
                    <w:t>销售部</w:t>
                  </w:r>
                </w:p>
              </w:tc>
              <w:tc>
                <w:tcPr>
                  <w:tcW w:w="2261" w:type="dxa"/>
                </w:tcPr>
                <w:p>
                  <w:r>
                    <w:rPr>
                      <w:rFonts w:hint="eastAsia"/>
                    </w:rPr>
                    <w:t>生产/服务放行过程</w:t>
                  </w:r>
                </w:p>
              </w:tc>
              <w:tc>
                <w:tcPr>
                  <w:tcW w:w="2261" w:type="dxa"/>
                </w:tcPr>
                <w:p>
                  <w:r>
                    <w:rPr>
                      <w:rFonts w:hint="eastAsia"/>
                    </w:rPr>
                    <w:t>品质部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应对风险和机遇的措施</w:t>
            </w:r>
          </w:p>
          <w:p/>
        </w:tc>
        <w:tc>
          <w:tcPr>
            <w:tcW w:w="960" w:type="dxa"/>
            <w:vMerge w:val="restart"/>
          </w:tcPr>
          <w:p>
            <w:r>
              <w:rPr>
                <w:rFonts w:hint="eastAsia"/>
                <w:color w:val="000000"/>
                <w:szCs w:val="21"/>
              </w:rPr>
              <w:t>Q6.1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w:t>
            </w:r>
            <w:r>
              <w:rPr>
                <w:rFonts w:hint="eastAsia"/>
                <w:color w:val="000000"/>
                <w:szCs w:val="21"/>
              </w:rPr>
              <w:t>风险和机遇</w:t>
            </w:r>
            <w:r>
              <w:rPr>
                <w:rFonts w:hint="eastAsia"/>
              </w:rPr>
              <w:t>控制程序》、</w:t>
            </w:r>
            <w:r>
              <w:rPr>
                <w:rFonts w:hint="eastAsia"/>
              </w:rPr>
              <w:sym w:font="Wingdings" w:char="00FE"/>
            </w:r>
            <w:r>
              <w:rPr>
                <w:rFonts w:hint="eastAsia"/>
              </w:rPr>
              <w:t>管理手册第6.1条款</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分析风险的方法：</w:t>
            </w:r>
            <w:r>
              <w:rPr>
                <w:rFonts w:hint="eastAsia"/>
              </w:rPr>
              <w:sym w:font="Wingdings" w:char="00FE"/>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hint="eastAsia"/>
              </w:rPr>
              <w:sym w:font="Wingdings" w:char="00FE"/>
            </w:r>
            <w:r>
              <w:rPr>
                <w:rFonts w:hint="eastAsia"/>
              </w:rPr>
              <w:t xml:space="preserve">规避风险 </w:t>
            </w:r>
            <w:r>
              <w:rPr>
                <w:rFonts w:hint="eastAsia"/>
              </w:rPr>
              <w:sym w:font="Wingdings" w:char="00FE"/>
            </w:r>
            <w:r>
              <w:rPr>
                <w:rFonts w:hint="eastAsia"/>
              </w:rPr>
              <w:t>为寻求机遇承担风险、</w:t>
            </w:r>
            <w:r>
              <w:rPr>
                <w:rFonts w:hint="eastAsia"/>
              </w:rPr>
              <w:sym w:font="Wingdings" w:char="00FE"/>
            </w:r>
            <w:r>
              <w:rPr>
                <w:rFonts w:hint="eastAsia"/>
              </w:rPr>
              <w:t xml:space="preserve">消除风险源 </w:t>
            </w:r>
            <w:r>
              <w:rPr>
                <w:rFonts w:hint="eastAsia"/>
              </w:rPr>
              <w:sym w:font="Wingdings" w:char="00FE"/>
            </w:r>
            <w:r>
              <w:rPr>
                <w:rFonts w:hint="eastAsia"/>
              </w:rPr>
              <w:t>改变风险的可能性和后果、</w:t>
            </w:r>
            <w:r>
              <w:rPr>
                <w:rFonts w:hint="eastAsia"/>
              </w:rPr>
              <w:sym w:font="Wingdings" w:char="00FE"/>
            </w:r>
            <w:r>
              <w:rPr>
                <w:rFonts w:hint="eastAsia"/>
              </w:rPr>
              <w:t xml:space="preserve">分担风险 </w:t>
            </w:r>
            <w:r>
              <w:rPr>
                <w:rFonts w:hint="eastAsia"/>
              </w:rPr>
              <w:sym w:font="Wingdings" w:char="00FE"/>
            </w:r>
            <w:r>
              <w:rPr>
                <w:rFonts w:hint="eastAsia"/>
              </w:rPr>
              <w:t xml:space="preserve">通过信息充分的决策而保留风险 </w:t>
            </w:r>
            <w:r>
              <w:rPr>
                <w:rFonts w:hint="eastAsia"/>
              </w:rPr>
              <w:sym w:font="Wingdings" w:char="00A8"/>
            </w:r>
            <w:r>
              <w:rPr>
                <w:rFonts w:hint="eastAsia"/>
              </w:rPr>
              <w:t>其他</w:t>
            </w:r>
          </w:p>
          <w:p/>
          <w:p>
            <w:r>
              <w:rPr>
                <w:rFonts w:hint="eastAsia"/>
              </w:rPr>
              <w:t xml:space="preserve">列举2~3项应对主要风险的描述：         </w:t>
            </w:r>
          </w:p>
          <w:tbl>
            <w:tblPr>
              <w:tblStyle w:val="7"/>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1"/>
              <w:gridCol w:w="5350"/>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91" w:type="dxa"/>
                </w:tcPr>
                <w:p>
                  <w:r>
                    <w:rPr>
                      <w:rFonts w:hint="eastAsia"/>
                    </w:rPr>
                    <w:t>主要的风险描述</w:t>
                  </w:r>
                </w:p>
              </w:tc>
              <w:tc>
                <w:tcPr>
                  <w:tcW w:w="5350" w:type="dxa"/>
                </w:tcPr>
                <w:p>
                  <w:pPr>
                    <w:rPr>
                      <w:szCs w:val="24"/>
                    </w:rPr>
                  </w:pPr>
                  <w:r>
                    <w:rPr>
                      <w:rFonts w:hint="eastAsia"/>
                    </w:rPr>
                    <w:t>应对措施</w:t>
                  </w:r>
                </w:p>
              </w:tc>
              <w:tc>
                <w:tcPr>
                  <w:tcW w:w="988"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1" w:type="dxa"/>
                </w:tcPr>
                <w:p>
                  <w:pPr>
                    <w:jc w:val="left"/>
                  </w:pPr>
                  <w:r>
                    <w:rPr>
                      <w:rFonts w:hint="eastAsia"/>
                    </w:rPr>
                    <w:t>客户对产品质量标准提高，以及对供应周期和售后服务的期望值提升，给公司生产、质量和售后管理提出新的要求</w:t>
                  </w:r>
                </w:p>
                <w:p>
                  <w:pPr>
                    <w:rPr>
                      <w:highlight w:val="cyan"/>
                    </w:rPr>
                  </w:pPr>
                </w:p>
              </w:tc>
              <w:tc>
                <w:tcPr>
                  <w:tcW w:w="5350" w:type="dxa"/>
                </w:tcPr>
                <w:p>
                  <w:r>
                    <w:rPr>
                      <w:rFonts w:hint="eastAsia"/>
                    </w:rPr>
                    <w:t>1.销售部加强与客户进行质量标准制定的沟通，统一双方的标准和检测方法。</w:t>
                  </w:r>
                </w:p>
                <w:p>
                  <w:pPr>
                    <w:rPr>
                      <w:highlight w:val="cyan"/>
                    </w:rPr>
                  </w:pPr>
                  <w:r>
                    <w:rPr>
                      <w:rFonts w:hint="eastAsia"/>
                    </w:rPr>
                    <w:t>2.生产部门做好生产计划的安排，保证生产计划的执行3.销售部门加大客户交流沟通，及时处理客户的需求和意见</w:t>
                  </w:r>
                </w:p>
              </w:tc>
              <w:tc>
                <w:tcPr>
                  <w:tcW w:w="988" w:type="dxa"/>
                </w:tcPr>
                <w:p>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1" w:type="dxa"/>
                </w:tcPr>
                <w:p>
                  <w:pPr>
                    <w:rPr>
                      <w:szCs w:val="24"/>
                    </w:rPr>
                  </w:pPr>
                  <w:r>
                    <w:rPr>
                      <w:rFonts w:hint="eastAsia"/>
                    </w:rPr>
                    <w:t>公司运行中可能会对第三方产生不利的影响，或是第三方的要求公司目前无法满足，由此造成的冲突</w:t>
                  </w:r>
                </w:p>
              </w:tc>
              <w:tc>
                <w:tcPr>
                  <w:tcW w:w="5350" w:type="dxa"/>
                </w:tcPr>
                <w:p/>
                <w:p>
                  <w:r>
                    <w:rPr>
                      <w:rFonts w:hint="eastAsia"/>
                    </w:rPr>
                    <w:t>各职能部门加强与第三方的沟通，对第三方的要求及时进行处理，必要时及时提交公司高层进行资源配置，降低第三的抱怨</w:t>
                  </w:r>
                </w:p>
              </w:tc>
              <w:tc>
                <w:tcPr>
                  <w:tcW w:w="988" w:type="dxa"/>
                </w:tcPr>
                <w:p>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1" w:type="dxa"/>
                </w:tcPr>
                <w:p>
                  <w:pPr>
                    <w:rPr>
                      <w:szCs w:val="21"/>
                    </w:rPr>
                  </w:pPr>
                  <w:r>
                    <w:rPr>
                      <w:rFonts w:hint="eastAsia"/>
                      <w:szCs w:val="21"/>
                    </w:rPr>
                    <w:t>监管部门的监管力度。</w:t>
                  </w:r>
                </w:p>
                <w:p>
                  <w:pPr>
                    <w:rPr>
                      <w:szCs w:val="24"/>
                    </w:rPr>
                  </w:pPr>
                  <w:r>
                    <w:rPr>
                      <w:rFonts w:hint="eastAsia"/>
                    </w:rPr>
                    <w:t>监管部门监管力度的加大，如公司执行不规范，可能存在被查处的风险</w:t>
                  </w:r>
                </w:p>
              </w:tc>
              <w:tc>
                <w:tcPr>
                  <w:tcW w:w="5350" w:type="dxa"/>
                </w:tcPr>
                <w:p>
                  <w:r>
                    <w:rPr>
                      <w:rFonts w:hint="eastAsia"/>
                    </w:rPr>
                    <w:t>1.各级部门严格按照公司的规章制度开展相关工作</w:t>
                  </w:r>
                </w:p>
                <w:p>
                  <w:r>
                    <w:rPr>
                      <w:rFonts w:hint="eastAsia"/>
                    </w:rPr>
                    <w:t>2. 职能部门加大公司内部制度执行情况的检查</w:t>
                  </w:r>
                </w:p>
              </w:tc>
              <w:tc>
                <w:tcPr>
                  <w:tcW w:w="988" w:type="dxa"/>
                </w:tcPr>
                <w:p>
                  <w:r>
                    <w:rPr>
                      <w:rFonts w:hint="eastAsia"/>
                    </w:rPr>
                    <w:sym w:font="Wingdings" w:char="00FE"/>
                  </w:r>
                  <w:r>
                    <w:rPr>
                      <w:rFonts w:hint="eastAsia"/>
                    </w:rPr>
                    <w:t>有效</w:t>
                  </w:r>
                  <w:r>
                    <w:rPr>
                      <w:rFonts w:hint="eastAsia"/>
                    </w:rPr>
                    <w:sym w:font="Wingdings" w:char="00A8"/>
                  </w:r>
                  <w:r>
                    <w:rPr>
                      <w:rFonts w:hint="eastAsia"/>
                    </w:rPr>
                    <w:t>不足</w:t>
                  </w:r>
                </w:p>
              </w:tc>
            </w:tr>
          </w:tbl>
          <w:p/>
          <w:p>
            <w:r>
              <w:rPr>
                <w:rFonts w:hint="eastAsia"/>
              </w:rPr>
              <w:t xml:space="preserve">应对机遇的措施类型包括： </w:t>
            </w:r>
          </w:p>
          <w:p>
            <w:r>
              <w:rPr>
                <w:rFonts w:hint="eastAsia"/>
              </w:rPr>
              <w:sym w:font="Wingdings" w:char="00FE"/>
            </w:r>
            <w:r>
              <w:rPr>
                <w:rFonts w:hint="eastAsia"/>
              </w:rPr>
              <w:t xml:space="preserve">采用新实践 </w:t>
            </w:r>
            <w:r>
              <w:rPr>
                <w:rFonts w:hint="eastAsia"/>
              </w:rPr>
              <w:sym w:font="Wingdings" w:char="00FE"/>
            </w:r>
            <w:r>
              <w:rPr>
                <w:rFonts w:hint="eastAsia"/>
              </w:rPr>
              <w:t xml:space="preserve">推出新产品  </w:t>
            </w:r>
            <w:r>
              <w:rPr>
                <w:rFonts w:hint="eastAsia"/>
              </w:rPr>
              <w:sym w:font="Wingdings" w:char="00FE"/>
            </w:r>
            <w:r>
              <w:rPr>
                <w:rFonts w:hint="eastAsia"/>
              </w:rPr>
              <w:t xml:space="preserve">开辟新市场  </w:t>
            </w:r>
            <w:r>
              <w:rPr>
                <w:rFonts w:hint="eastAsia"/>
              </w:rPr>
              <w:sym w:font="Wingdings" w:char="00FE"/>
            </w:r>
            <w:r>
              <w:rPr>
                <w:rFonts w:hint="eastAsia"/>
              </w:rPr>
              <w:t xml:space="preserve">赢得新顾客  </w:t>
            </w:r>
            <w:r>
              <w:rPr>
                <w:rFonts w:hint="eastAsia"/>
              </w:rPr>
              <w:sym w:font="Wingdings" w:char="00A8"/>
            </w:r>
            <w:r>
              <w:rPr>
                <w:rFonts w:hint="eastAsia"/>
              </w:rPr>
              <w:t xml:space="preserve">建立合作伙伴关系  </w:t>
            </w:r>
            <w:r>
              <w:rPr>
                <w:rFonts w:hint="eastAsia"/>
              </w:rPr>
              <w:sym w:font="Wingdings" w:char="00FE"/>
            </w:r>
            <w:r>
              <w:rPr>
                <w:rFonts w:hint="eastAsia"/>
              </w:rPr>
              <w:t xml:space="preserve">利用新技术  </w:t>
            </w:r>
            <w:r>
              <w:rPr>
                <w:rFonts w:hint="eastAsia"/>
              </w:rPr>
              <w:sym w:font="Wingdings" w:char="00A8"/>
            </w:r>
            <w:r>
              <w:rPr>
                <w:rFonts w:hint="eastAsia"/>
              </w:rPr>
              <w:t>其他</w:t>
            </w:r>
          </w:p>
          <w:p>
            <w:r>
              <w:rPr>
                <w:rFonts w:hint="eastAsia"/>
              </w:rPr>
              <w:t>列举2~3项应对重要机遇的描述：</w:t>
            </w:r>
          </w:p>
          <w:tbl>
            <w:tblPr>
              <w:tblStyle w:val="7"/>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0"/>
              <w:gridCol w:w="367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30" w:type="dxa"/>
                </w:tcPr>
                <w:p>
                  <w:r>
                    <w:rPr>
                      <w:rFonts w:hint="eastAsia"/>
                    </w:rPr>
                    <w:t>主要的机遇描述</w:t>
                  </w:r>
                </w:p>
              </w:tc>
              <w:tc>
                <w:tcPr>
                  <w:tcW w:w="3675"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rPr>
                      <w:highlight w:val="cyan"/>
                    </w:rPr>
                  </w:pPr>
                  <w:r>
                    <w:rPr>
                      <w:rFonts w:hint="eastAsia"/>
                    </w:rPr>
                    <w:t>公司产品机构调整，给公司带来潜在的客户</w:t>
                  </w:r>
                </w:p>
              </w:tc>
              <w:tc>
                <w:tcPr>
                  <w:tcW w:w="3675" w:type="dxa"/>
                </w:tcPr>
                <w:p>
                  <w:r>
                    <w:rPr>
                      <w:rFonts w:hint="eastAsia"/>
                    </w:rPr>
                    <w:t>贸易部门加大市场开拓</w:t>
                  </w:r>
                </w:p>
              </w:tc>
              <w:tc>
                <w:tcPr>
                  <w:tcW w:w="1717" w:type="dxa"/>
                </w:tcPr>
                <w:p>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rPr>
                      <w:szCs w:val="24"/>
                    </w:rPr>
                  </w:pPr>
                  <w:r>
                    <w:rPr>
                      <w:rFonts w:hint="eastAsia"/>
                    </w:rPr>
                    <w:t>原材料可能会降低</w:t>
                  </w:r>
                </w:p>
              </w:tc>
              <w:tc>
                <w:tcPr>
                  <w:tcW w:w="3675" w:type="dxa"/>
                </w:tcPr>
                <w:p>
                  <w:r>
                    <w:rPr>
                      <w:rFonts w:hint="eastAsia"/>
                    </w:rPr>
                    <w:t>对公司影响较大的大宗原材料做好年度采购计划</w:t>
                  </w:r>
                </w:p>
              </w:tc>
              <w:tc>
                <w:tcPr>
                  <w:tcW w:w="1717" w:type="dxa"/>
                </w:tcPr>
                <w:p>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rPr>
                      <w:szCs w:val="24"/>
                    </w:rPr>
                  </w:pPr>
                </w:p>
              </w:tc>
              <w:tc>
                <w:tcPr>
                  <w:tcW w:w="3675" w:type="dxa"/>
                </w:tcPr>
                <w:p/>
              </w:tc>
              <w:tc>
                <w:tcPr>
                  <w:tcW w:w="1717" w:type="dxa"/>
                </w:tcPr>
                <w:p>
                  <w:r>
                    <w:rPr>
                      <w:rFonts w:hint="eastAsia"/>
                    </w:rPr>
                    <w:sym w:font="Wingdings" w:char="00A8"/>
                  </w:r>
                  <w:r>
                    <w:rPr>
                      <w:rFonts w:hint="eastAsia"/>
                    </w:rPr>
                    <w:t>有效</w:t>
                  </w:r>
                  <w:r>
                    <w:rPr>
                      <w:rFonts w:hint="eastAsia"/>
                    </w:rPr>
                    <w:sym w:font="Wingdings" w:char="00A8"/>
                  </w:r>
                  <w:r>
                    <w:rPr>
                      <w:rFonts w:hint="eastAsia"/>
                    </w:rPr>
                    <w:t>不足</w:t>
                  </w:r>
                </w:p>
              </w:tc>
            </w:tr>
          </w:tbl>
          <w:p/>
          <w:p>
            <w:r>
              <w:rPr>
                <w:rFonts w:hint="eastAsia"/>
              </w:rPr>
              <w:t>查看</w:t>
            </w:r>
            <w:r>
              <w:rPr>
                <w:rFonts w:hint="eastAsia"/>
              </w:rPr>
              <w:sym w:font="Wingdings" w:char="00FE"/>
            </w:r>
            <w:r>
              <w:rPr>
                <w:rFonts w:hint="eastAsia"/>
              </w:rPr>
              <w:t>《风险和机遇评估分析表》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质量目标及其实现的策划</w:t>
            </w:r>
          </w:p>
          <w:p/>
        </w:tc>
        <w:tc>
          <w:tcPr>
            <w:tcW w:w="960" w:type="dxa"/>
            <w:vMerge w:val="restart"/>
          </w:tcPr>
          <w:p>
            <w:r>
              <w:rPr>
                <w:rFonts w:hint="eastAsia"/>
                <w:color w:val="000000"/>
                <w:szCs w:val="21"/>
              </w:rPr>
              <w:t>Q6.2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手册第6.2条款、</w:t>
            </w:r>
            <w:r>
              <w:rPr>
                <w:rFonts w:hint="eastAsia"/>
              </w:rPr>
              <w:sym w:font="Wingdings" w:char="00FE"/>
            </w:r>
            <w:r>
              <w:rPr>
                <w:rFonts w:hint="eastAsia"/>
              </w:rPr>
              <w:t>《</w:t>
            </w:r>
            <w:r>
              <w:rPr>
                <w:rFonts w:hint="eastAsia"/>
                <w:color w:val="000000"/>
                <w:szCs w:val="21"/>
              </w:rPr>
              <w:t>质量目标</w:t>
            </w:r>
            <w:r>
              <w:rPr>
                <w:rFonts w:hint="eastAsia"/>
              </w:rPr>
              <w:t>》</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组织建立了与方针一致的文件化的管理目标。为实现总质量目标而建立的各层级质量目标具体、有针对性、可测量并且可实现。</w:t>
            </w:r>
          </w:p>
          <w:p>
            <w:r>
              <w:rPr>
                <w:rFonts w:hint="eastAsia"/>
              </w:rPr>
              <w:t>总质量目标实现情况的评价，及其测量方法是：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913"/>
              <w:gridCol w:w="2350"/>
              <w:gridCol w:w="650"/>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szCs w:val="22"/>
                    </w:rPr>
                  </w:pPr>
                  <w:r>
                    <w:rPr>
                      <w:rFonts w:hint="eastAsia"/>
                      <w:szCs w:val="22"/>
                    </w:rPr>
                    <w:t>质量目标</w:t>
                  </w:r>
                </w:p>
              </w:tc>
              <w:tc>
                <w:tcPr>
                  <w:tcW w:w="913" w:type="dxa"/>
                  <w:shd w:val="clear" w:color="auto" w:fill="auto"/>
                </w:tcPr>
                <w:p>
                  <w:pPr>
                    <w:rPr>
                      <w:szCs w:val="22"/>
                    </w:rPr>
                  </w:pPr>
                  <w:r>
                    <w:rPr>
                      <w:rFonts w:hint="eastAsia"/>
                      <w:szCs w:val="22"/>
                    </w:rPr>
                    <w:t>目标值</w:t>
                  </w:r>
                </w:p>
              </w:tc>
              <w:tc>
                <w:tcPr>
                  <w:tcW w:w="2350" w:type="dxa"/>
                  <w:shd w:val="clear" w:color="auto" w:fill="auto"/>
                </w:tcPr>
                <w:p>
                  <w:pPr>
                    <w:rPr>
                      <w:szCs w:val="22"/>
                    </w:rPr>
                  </w:pPr>
                  <w:r>
                    <w:rPr>
                      <w:rFonts w:hint="eastAsia"/>
                      <w:szCs w:val="22"/>
                    </w:rPr>
                    <w:t>计算方法</w:t>
                  </w:r>
                </w:p>
              </w:tc>
              <w:tc>
                <w:tcPr>
                  <w:tcW w:w="650" w:type="dxa"/>
                  <w:shd w:val="clear" w:color="auto" w:fill="auto"/>
                </w:tcPr>
                <w:p>
                  <w:pPr>
                    <w:rPr>
                      <w:szCs w:val="22"/>
                    </w:rPr>
                  </w:pPr>
                  <w:r>
                    <w:rPr>
                      <w:rFonts w:hint="eastAsia"/>
                      <w:szCs w:val="22"/>
                    </w:rPr>
                    <w:t>频次</w:t>
                  </w:r>
                </w:p>
              </w:tc>
              <w:tc>
                <w:tcPr>
                  <w:tcW w:w="2923" w:type="dxa"/>
                  <w:shd w:val="clear" w:color="auto" w:fill="auto"/>
                </w:tcPr>
                <w:p>
                  <w:pPr>
                    <w:rPr>
                      <w:szCs w:val="22"/>
                    </w:rPr>
                  </w:pPr>
                  <w:r>
                    <w:rPr>
                      <w:rFonts w:hint="eastAsia"/>
                      <w:szCs w:val="22"/>
                    </w:rPr>
                    <w:t>2020年1-4月目标实际完成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5"/>
                    <w:pBdr>
                      <w:bottom w:val="none" w:color="auto" w:sz="0" w:space="0"/>
                    </w:pBdr>
                    <w:tabs>
                      <w:tab w:val="left" w:pos="420"/>
                    </w:tabs>
                    <w:spacing w:line="240" w:lineRule="exact"/>
                    <w:jc w:val="both"/>
                    <w:rPr>
                      <w:sz w:val="21"/>
                      <w:szCs w:val="22"/>
                    </w:rPr>
                  </w:pPr>
                  <w:r>
                    <w:rPr>
                      <w:rFonts w:hint="eastAsia"/>
                      <w:sz w:val="21"/>
                      <w:szCs w:val="22"/>
                    </w:rPr>
                    <w:t>产品出厂合格率</w:t>
                  </w:r>
                </w:p>
              </w:tc>
              <w:tc>
                <w:tcPr>
                  <w:tcW w:w="913" w:type="dxa"/>
                  <w:shd w:val="clear" w:color="auto" w:fill="auto"/>
                  <w:vAlign w:val="center"/>
                </w:tcPr>
                <w:p>
                  <w:pPr>
                    <w:pStyle w:val="5"/>
                    <w:pBdr>
                      <w:bottom w:val="none" w:color="auto" w:sz="0" w:space="0"/>
                    </w:pBdr>
                    <w:tabs>
                      <w:tab w:val="left" w:pos="420"/>
                    </w:tabs>
                    <w:spacing w:line="240" w:lineRule="exact"/>
                    <w:jc w:val="both"/>
                    <w:rPr>
                      <w:sz w:val="21"/>
                      <w:szCs w:val="22"/>
                    </w:rPr>
                  </w:pPr>
                  <w:r>
                    <w:rPr>
                      <w:rFonts w:hint="eastAsia"/>
                      <w:sz w:val="21"/>
                      <w:szCs w:val="22"/>
                    </w:rPr>
                    <w:t>100%</w:t>
                  </w:r>
                </w:p>
              </w:tc>
              <w:tc>
                <w:tcPr>
                  <w:tcW w:w="2350" w:type="dxa"/>
                  <w:shd w:val="clear" w:color="auto" w:fill="auto"/>
                  <w:vAlign w:val="center"/>
                </w:tcPr>
                <w:p>
                  <w:pPr>
                    <w:spacing w:line="360" w:lineRule="exact"/>
                    <w:ind w:left="180" w:hanging="180" w:hangingChars="100"/>
                    <w:jc w:val="left"/>
                    <w:rPr>
                      <w:sz w:val="18"/>
                      <w:szCs w:val="18"/>
                    </w:rPr>
                  </w:pPr>
                  <w:r>
                    <w:rPr>
                      <w:rFonts w:hint="eastAsia"/>
                      <w:sz w:val="18"/>
                      <w:szCs w:val="18"/>
                    </w:rPr>
                    <w:t>产品出厂合格品数/产品出厂总数×100%</w:t>
                  </w:r>
                </w:p>
              </w:tc>
              <w:tc>
                <w:tcPr>
                  <w:tcW w:w="650" w:type="dxa"/>
                  <w:shd w:val="clear" w:color="auto" w:fill="auto"/>
                  <w:vAlign w:val="center"/>
                </w:tcPr>
                <w:p>
                  <w:pPr>
                    <w:rPr>
                      <w:szCs w:val="22"/>
                    </w:rPr>
                  </w:pPr>
                  <w:r>
                    <w:rPr>
                      <w:rFonts w:hint="eastAsia"/>
                      <w:szCs w:val="22"/>
                    </w:rPr>
                    <w:t>每月</w:t>
                  </w:r>
                </w:p>
              </w:tc>
              <w:tc>
                <w:tcPr>
                  <w:tcW w:w="2923" w:type="dxa"/>
                  <w:shd w:val="clear" w:color="auto" w:fill="auto"/>
                </w:tcPr>
                <w:p>
                  <w:pPr>
                    <w:rPr>
                      <w:szCs w:val="22"/>
                      <w:lang w:val="en-GB"/>
                    </w:rPr>
                  </w:pPr>
                  <w:r>
                    <w:rPr>
                      <w:rFonts w:hint="eastAsia"/>
                      <w:szCs w:val="22"/>
                    </w:rPr>
                    <w:sym w:font="Wingdings" w:char="00FE"/>
                  </w:r>
                  <w:r>
                    <w:rPr>
                      <w:rFonts w:hint="eastAsia"/>
                      <w:szCs w:val="22"/>
                    </w:rPr>
                    <w:t xml:space="preserve">是 </w:t>
                  </w:r>
                  <w:r>
                    <w:rPr>
                      <w:rFonts w:hint="eastAsia"/>
                      <w:szCs w:val="22"/>
                    </w:rPr>
                    <w:sym w:font="Wingdings" w:char="00A8"/>
                  </w:r>
                  <w:r>
                    <w:rPr>
                      <w:rFonts w:hint="eastAsia"/>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5"/>
                    <w:pBdr>
                      <w:bottom w:val="none" w:color="auto" w:sz="0" w:space="0"/>
                    </w:pBdr>
                    <w:tabs>
                      <w:tab w:val="left" w:pos="420"/>
                    </w:tabs>
                    <w:spacing w:line="240" w:lineRule="exact"/>
                    <w:jc w:val="both"/>
                    <w:rPr>
                      <w:sz w:val="21"/>
                      <w:szCs w:val="22"/>
                    </w:rPr>
                  </w:pPr>
                  <w:r>
                    <w:rPr>
                      <w:rFonts w:hint="eastAsia"/>
                      <w:szCs w:val="21"/>
                    </w:rPr>
                    <w:t>顾客满意度</w:t>
                  </w:r>
                </w:p>
              </w:tc>
              <w:tc>
                <w:tcPr>
                  <w:tcW w:w="913" w:type="dxa"/>
                  <w:shd w:val="clear" w:color="auto" w:fill="auto"/>
                  <w:vAlign w:val="center"/>
                </w:tcPr>
                <w:p>
                  <w:pPr>
                    <w:pStyle w:val="5"/>
                    <w:pBdr>
                      <w:bottom w:val="none" w:color="auto" w:sz="0" w:space="0"/>
                    </w:pBdr>
                    <w:tabs>
                      <w:tab w:val="left" w:pos="420"/>
                    </w:tabs>
                    <w:spacing w:line="240" w:lineRule="exact"/>
                    <w:rPr>
                      <w:sz w:val="21"/>
                      <w:szCs w:val="22"/>
                    </w:rPr>
                  </w:pPr>
                  <w:r>
                    <w:rPr>
                      <w:rFonts w:hint="eastAsia"/>
                      <w:sz w:val="21"/>
                      <w:szCs w:val="22"/>
                    </w:rPr>
                    <w:t>≥</w:t>
                  </w:r>
                  <w:r>
                    <w:rPr>
                      <w:rFonts w:hint="eastAsia"/>
                      <w:szCs w:val="21"/>
                    </w:rPr>
                    <w:t>9</w:t>
                  </w:r>
                  <w:r>
                    <w:rPr>
                      <w:szCs w:val="21"/>
                    </w:rPr>
                    <w:t>5</w:t>
                  </w:r>
                  <w:r>
                    <w:rPr>
                      <w:rFonts w:hint="eastAsia"/>
                      <w:szCs w:val="21"/>
                    </w:rPr>
                    <w:t>%</w:t>
                  </w:r>
                </w:p>
              </w:tc>
              <w:tc>
                <w:tcPr>
                  <w:tcW w:w="2350" w:type="dxa"/>
                  <w:shd w:val="clear" w:color="auto" w:fill="auto"/>
                  <w:vAlign w:val="center"/>
                </w:tcPr>
                <w:p>
                  <w:pPr>
                    <w:spacing w:line="360" w:lineRule="exact"/>
                    <w:ind w:left="180" w:hanging="180" w:hangingChars="100"/>
                    <w:jc w:val="left"/>
                    <w:rPr>
                      <w:sz w:val="18"/>
                      <w:szCs w:val="18"/>
                    </w:rPr>
                  </w:pPr>
                  <w:r>
                    <w:rPr>
                      <w:rFonts w:hint="eastAsia"/>
                      <w:sz w:val="18"/>
                      <w:szCs w:val="18"/>
                    </w:rPr>
                    <w:t>质量、服务、交付期等项目分数之和/项目数×</w:t>
                  </w:r>
                  <w:r>
                    <w:rPr>
                      <w:sz w:val="18"/>
                      <w:szCs w:val="18"/>
                    </w:rPr>
                    <w:t>100%</w:t>
                  </w:r>
                </w:p>
              </w:tc>
              <w:tc>
                <w:tcPr>
                  <w:tcW w:w="650" w:type="dxa"/>
                  <w:shd w:val="clear" w:color="auto" w:fill="auto"/>
                  <w:vAlign w:val="center"/>
                </w:tcPr>
                <w:p>
                  <w:pPr>
                    <w:rPr>
                      <w:szCs w:val="22"/>
                    </w:rPr>
                  </w:pPr>
                  <w:r>
                    <w:rPr>
                      <w:rFonts w:hint="eastAsia"/>
                      <w:szCs w:val="22"/>
                    </w:rPr>
                    <w:t>每年</w:t>
                  </w:r>
                </w:p>
              </w:tc>
              <w:tc>
                <w:tcPr>
                  <w:tcW w:w="2923" w:type="dxa"/>
                  <w:shd w:val="clear" w:color="auto" w:fill="auto"/>
                </w:tcPr>
                <w:p>
                  <w:pPr>
                    <w:rPr>
                      <w:szCs w:val="22"/>
                      <w:lang w:val="en-GB"/>
                    </w:rPr>
                  </w:pPr>
                  <w:r>
                    <w:rPr>
                      <w:rFonts w:hint="eastAsia"/>
                      <w:szCs w:val="22"/>
                    </w:rPr>
                    <w:sym w:font="Wingdings" w:char="00FE"/>
                  </w:r>
                  <w:r>
                    <w:rPr>
                      <w:rFonts w:hint="eastAsia"/>
                      <w:szCs w:val="22"/>
                    </w:rPr>
                    <w:t xml:space="preserve">是 </w:t>
                  </w:r>
                  <w:r>
                    <w:rPr>
                      <w:rFonts w:hint="eastAsia"/>
                      <w:szCs w:val="22"/>
                    </w:rPr>
                    <w:sym w:font="Wingdings" w:char="00A8"/>
                  </w:r>
                  <w:r>
                    <w:rPr>
                      <w:rFonts w:hint="eastAsia"/>
                      <w:szCs w:val="22"/>
                    </w:rPr>
                    <w:t>否</w:t>
                  </w: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变更的策划</w:t>
            </w:r>
          </w:p>
          <w:p/>
        </w:tc>
        <w:tc>
          <w:tcPr>
            <w:tcW w:w="960" w:type="dxa"/>
            <w:vMerge w:val="restart"/>
          </w:tcPr>
          <w:p>
            <w:r>
              <w:rPr>
                <w:rFonts w:hint="eastAsia"/>
                <w:color w:val="000000"/>
                <w:szCs w:val="21"/>
              </w:rPr>
              <w:t>Q6.3  </w:t>
            </w:r>
          </w:p>
        </w:tc>
        <w:tc>
          <w:tcPr>
            <w:tcW w:w="745" w:type="dxa"/>
          </w:tcPr>
          <w:p>
            <w:r>
              <w:rPr>
                <w:rFonts w:hint="eastAsia"/>
              </w:rPr>
              <w:t>文件名称</w:t>
            </w:r>
          </w:p>
        </w:tc>
        <w:tc>
          <w:tcPr>
            <w:tcW w:w="9259" w:type="dxa"/>
          </w:tcPr>
          <w:p>
            <w:r>
              <w:rPr>
                <w:rFonts w:hint="eastAsia"/>
              </w:rPr>
              <w:t>如：手册第6.3条款、</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pPr>
            <w:r>
              <w:rPr>
                <w:rFonts w:hint="eastAsia"/>
              </w:rPr>
              <w:t>□主要设备设施 □主要检测设备 ☑无变更</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体系变更的内容说明</w:t>
                  </w:r>
                </w:p>
              </w:tc>
              <w:tc>
                <w:tcPr>
                  <w:tcW w:w="3632" w:type="dxa"/>
                </w:tcPr>
                <w:p>
                  <w:pPr>
                    <w:rPr>
                      <w:highlight w:val="cyan"/>
                    </w:rPr>
                  </w:pPr>
                  <w:r>
                    <w:rPr>
                      <w:rFonts w:hint="eastAsia"/>
                    </w:rPr>
                    <w:t>无</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质量管理体系的完整性</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资源（总则）</w:t>
            </w:r>
          </w:p>
        </w:tc>
        <w:tc>
          <w:tcPr>
            <w:tcW w:w="960" w:type="dxa"/>
            <w:vMerge w:val="restart"/>
          </w:tcPr>
          <w:p>
            <w:r>
              <w:rPr>
                <w:rFonts w:hint="eastAsia"/>
                <w:color w:val="000000"/>
                <w:szCs w:val="21"/>
              </w:rPr>
              <w:t>Q7.1 </w:t>
            </w:r>
          </w:p>
        </w:tc>
        <w:tc>
          <w:tcPr>
            <w:tcW w:w="745" w:type="dxa"/>
          </w:tcPr>
          <w:p>
            <w:r>
              <w:rPr>
                <w:rFonts w:hint="eastAsia"/>
              </w:rPr>
              <w:t>文件名称</w:t>
            </w:r>
          </w:p>
        </w:tc>
        <w:tc>
          <w:tcPr>
            <w:tcW w:w="9259" w:type="dxa"/>
          </w:tcPr>
          <w:p>
            <w:r>
              <w:rPr>
                <w:rFonts w:hint="eastAsia"/>
              </w:rPr>
              <w:t>如：手册第7.1条款、</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1"/>
              </w:numPr>
              <w:rPr>
                <w:color w:val="000000"/>
                <w:szCs w:val="21"/>
              </w:rPr>
            </w:pPr>
            <w:r>
              <w:rPr>
                <w:rFonts w:hint="eastAsia"/>
                <w:color w:val="000000"/>
                <w:szCs w:val="21"/>
              </w:rPr>
              <w:t>现有内部资源的能力；</w:t>
            </w:r>
          </w:p>
          <w:p>
            <w:pPr>
              <w:rPr>
                <w:color w:val="FF0000"/>
              </w:rPr>
            </w:pPr>
            <w:r>
              <w:rPr>
                <w:rFonts w:hint="eastAsia"/>
              </w:rPr>
              <w:t>建筑面积</w:t>
            </w:r>
            <w:r>
              <w:rPr>
                <w:rFonts w:hint="eastAsia"/>
                <w:u w:val="single"/>
              </w:rPr>
              <w:t xml:space="preserve"> </w:t>
            </w:r>
            <w:r>
              <w:rPr>
                <w:u w:val="single"/>
              </w:rPr>
              <w:t>3200</w:t>
            </w:r>
            <w:r>
              <w:rPr>
                <w:rFonts w:hint="eastAsia"/>
              </w:rPr>
              <w:t>平方米；厂房</w:t>
            </w:r>
            <w:r>
              <w:rPr>
                <w:rFonts w:hint="eastAsia"/>
                <w:u w:val="single"/>
              </w:rPr>
              <w:t xml:space="preserve"> 2100 </w:t>
            </w:r>
            <w:r>
              <w:rPr>
                <w:rFonts w:hint="eastAsia"/>
              </w:rPr>
              <w:t>平米；生产检验设备</w:t>
            </w:r>
            <w:r>
              <w:rPr>
                <w:rFonts w:hint="eastAsia"/>
                <w:u w:val="single"/>
              </w:rPr>
              <w:t xml:space="preserve">14 </w:t>
            </w:r>
            <w:r>
              <w:rPr>
                <w:rFonts w:hint="eastAsia"/>
              </w:rPr>
              <w:t>余台；</w:t>
            </w:r>
          </w:p>
          <w:p>
            <w:pPr>
              <w:rPr>
                <w:u w:val="single"/>
              </w:rPr>
            </w:pPr>
            <w:r>
              <w:rPr>
                <w:rFonts w:hint="eastAsia"/>
              </w:rPr>
              <w:t>主要生产设备有：</w:t>
            </w:r>
            <w:r>
              <w:rPr>
                <w:rFonts w:hint="eastAsia"/>
                <w:color w:val="000000"/>
                <w:u w:val="single"/>
              </w:rPr>
              <w:t>液压闸式剪板机，液压板料折弯机、开式可倾压力机</w:t>
            </w:r>
            <w:r>
              <w:rPr>
                <w:rFonts w:hint="eastAsia"/>
                <w:u w:val="single"/>
              </w:rPr>
              <w:t>（列举2~4种）</w:t>
            </w:r>
          </w:p>
          <w:p>
            <w:r>
              <w:rPr>
                <w:rFonts w:hint="eastAsia"/>
              </w:rPr>
              <w:t>特种设备：</w:t>
            </w:r>
            <w:r>
              <w:rPr>
                <w:rFonts w:hint="eastAsia"/>
              </w:rPr>
              <w:sym w:font="Wingdings" w:char="00A8"/>
            </w:r>
            <w:r>
              <w:rPr>
                <w:rFonts w:hint="eastAsia"/>
              </w:rPr>
              <w:t>叉车</w:t>
            </w:r>
            <w:r>
              <w:rPr>
                <w:rFonts w:hint="eastAsia"/>
              </w:rPr>
              <w:sym w:font="Wingdings" w:char="00A8"/>
            </w:r>
            <w:r>
              <w:rPr>
                <w:rFonts w:hint="eastAsia"/>
              </w:rPr>
              <w:t>行车</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FE"/>
            </w:r>
            <w:r>
              <w:rPr>
                <w:rFonts w:hint="eastAsia"/>
              </w:rPr>
              <w:t xml:space="preserve">不适用  </w:t>
            </w:r>
          </w:p>
          <w:p>
            <w:pPr>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p>
          <w:p>
            <w:pPr>
              <w:rPr>
                <w:color w:val="000000"/>
                <w:szCs w:val="21"/>
              </w:rPr>
            </w:pPr>
          </w:p>
          <w:p>
            <w:pPr>
              <w:rPr>
                <w:color w:val="000000"/>
                <w:szCs w:val="21"/>
              </w:rPr>
            </w:pPr>
            <w:r>
              <w:rPr>
                <w:rFonts w:hint="eastAsia"/>
                <w:color w:val="000000"/>
                <w:szCs w:val="21"/>
              </w:rPr>
              <w:t>还存在哪些局限和不足：</w:t>
            </w:r>
            <w:r>
              <w:rPr>
                <w:rFonts w:hint="eastAsia"/>
                <w:u w:val="single"/>
              </w:rPr>
              <w:t xml:space="preserve">  无                    </w:t>
            </w:r>
          </w:p>
          <w:p>
            <w:pPr>
              <w:rPr>
                <w:color w:val="000000"/>
                <w:szCs w:val="21"/>
              </w:rPr>
            </w:pPr>
          </w:p>
          <w:p>
            <w:pPr>
              <w:numPr>
                <w:ilvl w:val="0"/>
                <w:numId w:val="1"/>
              </w:numPr>
            </w:pPr>
            <w:r>
              <w:rPr>
                <w:rFonts w:hint="eastAsia"/>
                <w:color w:val="000000"/>
                <w:szCs w:val="21"/>
              </w:rPr>
              <w:t>需要从外部供方获得的资源：</w:t>
            </w:r>
            <w:r>
              <w:rPr>
                <w:rFonts w:hint="eastAsia"/>
                <w:u w:val="single"/>
              </w:rPr>
              <w:t xml:space="preserve">   钢材料，</w:t>
            </w:r>
            <w:r>
              <w:rPr>
                <w:rFonts w:hint="eastAsia" w:ascii="宋体" w:hAnsi="宋体"/>
                <w:kern w:val="0"/>
                <w:szCs w:val="21"/>
                <w:u w:val="single"/>
              </w:rPr>
              <w:t>自走式喷雾机配件（电动推杆），各种螺丝、螺母</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人员</w:t>
            </w:r>
          </w:p>
        </w:tc>
        <w:tc>
          <w:tcPr>
            <w:tcW w:w="960" w:type="dxa"/>
            <w:vMerge w:val="restart"/>
          </w:tcPr>
          <w:p>
            <w:r>
              <w:rPr>
                <w:rFonts w:hint="eastAsia"/>
                <w:color w:val="000000"/>
                <w:szCs w:val="21"/>
              </w:rPr>
              <w:t>Q7.1.2</w:t>
            </w:r>
          </w:p>
        </w:tc>
        <w:tc>
          <w:tcPr>
            <w:tcW w:w="745" w:type="dxa"/>
          </w:tcPr>
          <w:p>
            <w:r>
              <w:rPr>
                <w:rFonts w:hint="eastAsia"/>
              </w:rPr>
              <w:t>文件名称</w:t>
            </w:r>
          </w:p>
        </w:tc>
        <w:tc>
          <w:tcPr>
            <w:tcW w:w="9259" w:type="dxa"/>
          </w:tcPr>
          <w:p>
            <w:r>
              <w:rPr>
                <w:rFonts w:hint="eastAsia"/>
              </w:rPr>
              <w:t>如：手册第7.1条款、</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szCs w:val="21"/>
                    </w:rPr>
                  </w:pPr>
                  <w:r>
                    <w:rPr>
                      <w:rFonts w:hint="eastAsia"/>
                    </w:rPr>
                    <w:t>管理人员数</w:t>
                  </w:r>
                </w:p>
              </w:tc>
              <w:tc>
                <w:tcPr>
                  <w:tcW w:w="1292" w:type="dxa"/>
                </w:tcPr>
                <w:p>
                  <w:pPr>
                    <w:rPr>
                      <w:szCs w:val="21"/>
                    </w:rPr>
                  </w:pPr>
                  <w:r>
                    <w:rPr>
                      <w:rFonts w:hint="eastAsia"/>
                    </w:rPr>
                    <w:t>技术人员数</w:t>
                  </w:r>
                </w:p>
              </w:tc>
              <w:tc>
                <w:tcPr>
                  <w:tcW w:w="1292" w:type="dxa"/>
                </w:tcPr>
                <w:p>
                  <w:pPr>
                    <w:rPr>
                      <w:szCs w:val="21"/>
                    </w:rPr>
                  </w:pPr>
                  <w:r>
                    <w:rPr>
                      <w:rFonts w:hint="eastAsia"/>
                      <w:szCs w:val="21"/>
                    </w:rPr>
                    <w:t>临时工数</w:t>
                  </w:r>
                </w:p>
              </w:tc>
              <w:tc>
                <w:tcPr>
                  <w:tcW w:w="1292" w:type="dxa"/>
                </w:tcPr>
                <w:p>
                  <w:pPr>
                    <w:rPr>
                      <w:szCs w:val="21"/>
                    </w:rPr>
                  </w:pPr>
                  <w:r>
                    <w:rPr>
                      <w:rFonts w:hint="eastAsia"/>
                      <w:szCs w:val="21"/>
                    </w:rPr>
                    <w:t>季节工数</w:t>
                  </w:r>
                </w:p>
              </w:tc>
              <w:tc>
                <w:tcPr>
                  <w:tcW w:w="1292" w:type="dxa"/>
                </w:tcPr>
                <w:p>
                  <w:pPr>
                    <w:rPr>
                      <w:szCs w:val="21"/>
                    </w:rPr>
                  </w:pPr>
                  <w:r>
                    <w:rPr>
                      <w:rFonts w:hint="eastAsia"/>
                      <w:szCs w:val="21"/>
                    </w:rPr>
                    <w:t>辅助人员数</w:t>
                  </w:r>
                </w:p>
              </w:tc>
              <w:tc>
                <w:tcPr>
                  <w:tcW w:w="1292" w:type="dxa"/>
                </w:tcPr>
                <w:p>
                  <w:pPr>
                    <w:rPr>
                      <w:szCs w:val="21"/>
                    </w:rPr>
                  </w:pPr>
                  <w:r>
                    <w:rPr>
                      <w:rFonts w:hint="eastAsia"/>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rFonts w:hint="eastAsia" w:eastAsia="宋体"/>
                      <w:color w:val="000000" w:themeColor="text1"/>
                      <w:szCs w:val="21"/>
                      <w:lang w:eastAsia="zh-CN"/>
                    </w:rPr>
                  </w:pPr>
                  <w:r>
                    <w:rPr>
                      <w:rFonts w:hint="eastAsia"/>
                      <w:color w:val="000000" w:themeColor="text1"/>
                      <w:szCs w:val="21"/>
                      <w:lang w:val="en-US" w:eastAsia="zh-CN"/>
                    </w:rPr>
                    <w:t>6</w:t>
                  </w:r>
                </w:p>
              </w:tc>
              <w:tc>
                <w:tcPr>
                  <w:tcW w:w="1292" w:type="dxa"/>
                </w:tcPr>
                <w:p>
                  <w:pPr>
                    <w:rPr>
                      <w:rFonts w:hint="default" w:eastAsia="宋体"/>
                      <w:color w:val="000000" w:themeColor="text1"/>
                      <w:szCs w:val="21"/>
                      <w:lang w:val="en-US" w:eastAsia="zh-CN"/>
                    </w:rPr>
                  </w:pPr>
                  <w:r>
                    <w:rPr>
                      <w:rFonts w:hint="eastAsia"/>
                      <w:color w:val="000000" w:themeColor="text1"/>
                      <w:szCs w:val="21"/>
                      <w:lang w:val="en-US" w:eastAsia="zh-CN"/>
                    </w:rPr>
                    <w:t>19</w:t>
                  </w:r>
                </w:p>
              </w:tc>
              <w:tc>
                <w:tcPr>
                  <w:tcW w:w="1292" w:type="dxa"/>
                </w:tcPr>
                <w:p>
                  <w:pPr>
                    <w:rPr>
                      <w:color w:val="000000" w:themeColor="text1"/>
                      <w:szCs w:val="21"/>
                    </w:rPr>
                  </w:pPr>
                  <w:r>
                    <w:rPr>
                      <w:rFonts w:hint="eastAsia"/>
                      <w:color w:val="000000" w:themeColor="text1"/>
                      <w:szCs w:val="21"/>
                    </w:rPr>
                    <w:t>0</w:t>
                  </w:r>
                </w:p>
              </w:tc>
              <w:tc>
                <w:tcPr>
                  <w:tcW w:w="1292" w:type="dxa"/>
                </w:tcPr>
                <w:p>
                  <w:pPr>
                    <w:rPr>
                      <w:color w:val="000000" w:themeColor="text1"/>
                      <w:szCs w:val="21"/>
                    </w:rPr>
                  </w:pPr>
                  <w:r>
                    <w:rPr>
                      <w:rFonts w:hint="eastAsia"/>
                      <w:color w:val="000000" w:themeColor="text1"/>
                      <w:szCs w:val="21"/>
                    </w:rPr>
                    <w:t>0</w:t>
                  </w:r>
                </w:p>
              </w:tc>
              <w:tc>
                <w:tcPr>
                  <w:tcW w:w="1292" w:type="dxa"/>
                </w:tcPr>
                <w:p>
                  <w:pPr>
                    <w:rPr>
                      <w:color w:val="000000" w:themeColor="text1"/>
                      <w:szCs w:val="21"/>
                    </w:rPr>
                  </w:pPr>
                  <w:r>
                    <w:rPr>
                      <w:rFonts w:hint="eastAsia"/>
                      <w:color w:val="000000" w:themeColor="text1"/>
                      <w:szCs w:val="21"/>
                    </w:rPr>
                    <w:t>0</w:t>
                  </w:r>
                </w:p>
              </w:tc>
              <w:tc>
                <w:tcPr>
                  <w:tcW w:w="1292" w:type="dxa"/>
                </w:tcPr>
                <w:p>
                  <w:pPr>
                    <w:rPr>
                      <w:rFonts w:hint="eastAsia" w:eastAsia="宋体"/>
                      <w:color w:val="000000" w:themeColor="text1"/>
                      <w:szCs w:val="21"/>
                      <w:lang w:eastAsia="zh-CN"/>
                    </w:rPr>
                  </w:pPr>
                  <w:r>
                    <w:rPr>
                      <w:rFonts w:hint="eastAsia"/>
                      <w:color w:val="000000" w:themeColor="text1"/>
                      <w:szCs w:val="21"/>
                    </w:rPr>
                    <w:t>2</w:t>
                  </w:r>
                  <w:r>
                    <w:rPr>
                      <w:rFonts w:hint="eastAsia"/>
                      <w:color w:val="000000" w:themeColor="text1"/>
                      <w:szCs w:val="21"/>
                      <w:lang w:val="en-US" w:eastAsia="zh-CN"/>
                    </w:rPr>
                    <w:t>5</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 xml:space="preserve"> 组织的知识</w:t>
            </w:r>
          </w:p>
        </w:tc>
        <w:tc>
          <w:tcPr>
            <w:tcW w:w="960" w:type="dxa"/>
            <w:vMerge w:val="restart"/>
          </w:tcPr>
          <w:p>
            <w:r>
              <w:rPr>
                <w:rFonts w:hint="eastAsia"/>
              </w:rPr>
              <w:t xml:space="preserve">Q7.1.6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《组织知识控制程序》、</w:t>
            </w:r>
            <w:r>
              <w:rPr>
                <w:rFonts w:hint="eastAsia"/>
              </w:rPr>
              <w:sym w:font="Wingdings" w:char="00FE"/>
            </w:r>
            <w:r>
              <w:rPr>
                <w:rFonts w:hint="eastAsia"/>
              </w:rPr>
              <w:t>手册第7.1.6条款</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组织应确定所需的知识控制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480"/>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tc>
              <w:tc>
                <w:tcPr>
                  <w:tcW w:w="2480" w:type="dxa"/>
                </w:tcPr>
                <w:p>
                  <w:r>
                    <w:rPr>
                      <w:rFonts w:hint="eastAsia"/>
                    </w:rPr>
                    <w:t>具体内容</w:t>
                  </w:r>
                </w:p>
              </w:tc>
              <w:tc>
                <w:tcPr>
                  <w:tcW w:w="1809" w:type="dxa"/>
                </w:tcPr>
                <w:p>
                  <w:r>
                    <w:rPr>
                      <w:rFonts w:hint="eastAsia"/>
                    </w:rPr>
                    <w:t>收集部门</w:t>
                  </w:r>
                </w:p>
              </w:tc>
              <w:tc>
                <w:tcPr>
                  <w:tcW w:w="1809" w:type="dxa"/>
                </w:tcPr>
                <w:p>
                  <w:r>
                    <w:rPr>
                      <w:rFonts w:hint="eastAsia"/>
                    </w:rPr>
                    <w:t>共享方法</w:t>
                  </w:r>
                </w:p>
              </w:tc>
              <w:tc>
                <w:tcPr>
                  <w:tcW w:w="1809" w:type="dxa"/>
                </w:tcPr>
                <w:p>
                  <w:r>
                    <w:rPr>
                      <w:rFonts w:hint="eastAsia"/>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内部知识</w:t>
                  </w:r>
                </w:p>
              </w:tc>
              <w:tc>
                <w:tcPr>
                  <w:tcW w:w="2480" w:type="dxa"/>
                </w:tcPr>
                <w:p>
                  <w:pPr>
                    <w:spacing w:line="400" w:lineRule="exact"/>
                    <w:rPr>
                      <w:sz w:val="18"/>
                      <w:szCs w:val="18"/>
                    </w:rPr>
                  </w:pPr>
                  <w:r>
                    <w:rPr>
                      <w:rFonts w:hint="eastAsia"/>
                      <w:sz w:val="18"/>
                      <w:szCs w:val="18"/>
                    </w:rPr>
                    <w:t>生产管理及运行所需的知识（经验、 教训等）等，包括：</w:t>
                  </w:r>
                </w:p>
                <w:p>
                  <w:r>
                    <w:rPr>
                      <w:rFonts w:hint="eastAsia"/>
                      <w:sz w:val="18"/>
                      <w:szCs w:val="18"/>
                    </w:rPr>
                    <w:t>管理理念、管理方法、工作方法、 工艺成果、生产工艺流程、 工艺文件、 设备操作规程、 作业指导书、 检验规范、 检验方法、 图纸、 BOM表、组织内部人员的知识和经验、技能技艺、知识产权、产品故障分析。</w:t>
                  </w:r>
                </w:p>
              </w:tc>
              <w:tc>
                <w:tcPr>
                  <w:tcW w:w="1809" w:type="dxa"/>
                </w:tcPr>
                <w:p>
                  <w:r>
                    <w:rPr>
                      <w:rFonts w:hint="eastAsia"/>
                    </w:rPr>
                    <w:t>公司各部门</w:t>
                  </w:r>
                </w:p>
              </w:tc>
              <w:tc>
                <w:tcPr>
                  <w:tcW w:w="1809" w:type="dxa"/>
                </w:tcPr>
                <w:p>
                  <w:r>
                    <w:rPr>
                      <w:rFonts w:hint="eastAsia"/>
                    </w:rPr>
                    <w:sym w:font="Wingdings" w:char="00FE"/>
                  </w:r>
                  <w:r>
                    <w:rPr>
                      <w:rFonts w:hint="eastAsia"/>
                    </w:rPr>
                    <w:t>交流会议</w:t>
                  </w:r>
                </w:p>
                <w:p>
                  <w:r>
                    <w:rPr>
                      <w:rFonts w:hint="eastAsia"/>
                    </w:rPr>
                    <w:sym w:font="Wingdings" w:char="00FE"/>
                  </w:r>
                  <w:r>
                    <w:rPr>
                      <w:rFonts w:hint="eastAsia"/>
                    </w:rPr>
                    <w:t>工作总结</w:t>
                  </w:r>
                </w:p>
                <w:p>
                  <w:r>
                    <w:rPr>
                      <w:rFonts w:hint="eastAsia"/>
                    </w:rPr>
                    <w:sym w:font="Wingdings" w:char="00FE"/>
                  </w:r>
                  <w:r>
                    <w:rPr>
                      <w:rFonts w:hint="eastAsia"/>
                    </w:rPr>
                    <w:t>辅导</w:t>
                  </w:r>
                </w:p>
                <w:p>
                  <w:r>
                    <w:rPr>
                      <w:rFonts w:hint="eastAsia"/>
                    </w:rPr>
                    <w:sym w:font="Wingdings" w:char="00FE"/>
                  </w:r>
                  <w:r>
                    <w:rPr>
                      <w:rFonts w:hint="eastAsia"/>
                    </w:rPr>
                    <w:t>培训</w:t>
                  </w:r>
                </w:p>
                <w:p>
                  <w:r>
                    <w:rPr>
                      <w:rFonts w:hint="eastAsia"/>
                    </w:rPr>
                    <w:sym w:font="Wingdings" w:char="00FE"/>
                  </w:r>
                  <w:r>
                    <w:rPr>
                      <w:rFonts w:hint="eastAsia"/>
                    </w:rPr>
                    <w:t>微信群</w:t>
                  </w:r>
                </w:p>
              </w:tc>
              <w:tc>
                <w:tcPr>
                  <w:tcW w:w="1809" w:type="dxa"/>
                </w:tcPr>
                <w:p>
                  <w:r>
                    <w:rPr>
                      <w:rFonts w:hint="eastAsia"/>
                    </w:rPr>
                    <w:sym w:font="Wingdings" w:char="00FE"/>
                  </w:r>
                  <w:r>
                    <w:rPr>
                      <w:rFonts w:hint="eastAsia"/>
                    </w:rPr>
                    <w:t>不定期</w:t>
                  </w:r>
                </w:p>
                <w:p>
                  <w:r>
                    <w:rPr>
                      <w:rFonts w:hint="eastAsia"/>
                    </w:rPr>
                    <w:sym w:font="Wingdings" w:char="00A8"/>
                  </w:r>
                  <w:r>
                    <w:rPr>
                      <w:rFonts w:hint="eastAsia"/>
                    </w:rPr>
                    <w:t>每年</w:t>
                  </w:r>
                </w:p>
                <w:p>
                  <w:r>
                    <w:rPr>
                      <w:rFonts w:hint="eastAsia"/>
                    </w:rPr>
                    <w:sym w:font="Wingdings" w:char="00A8"/>
                  </w:r>
                  <w:r>
                    <w:rPr>
                      <w:rFonts w:hint="eastAsia"/>
                    </w:rPr>
                    <w:t>每季度</w:t>
                  </w:r>
                </w:p>
                <w:p>
                  <w:r>
                    <w:rPr>
                      <w:rFonts w:hint="eastAsia"/>
                    </w:rPr>
                    <w:sym w:font="Wingdings" w:char="00FE"/>
                  </w:r>
                  <w:r>
                    <w:rPr>
                      <w:rFonts w:hint="eastAsia"/>
                    </w:rPr>
                    <w:t>每月</w:t>
                  </w:r>
                </w:p>
                <w:p>
                  <w:r>
                    <w:rPr>
                      <w:rFonts w:hint="eastAsia"/>
                    </w:rPr>
                    <w:sym w:font="Wingdings" w:char="00FE"/>
                  </w:r>
                  <w:r>
                    <w:rPr>
                      <w:rFonts w:hint="eastAsia"/>
                    </w:rPr>
                    <w:t>每周例会</w:t>
                  </w:r>
                </w:p>
                <w:p>
                  <w:r>
                    <w:rPr>
                      <w:rFonts w:hint="eastAsia"/>
                    </w:rPr>
                    <w:sym w:font="Wingdings" w:char="00FE"/>
                  </w:r>
                  <w:r>
                    <w:rPr>
                      <w:rFonts w:hint="eastAsia"/>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外部知识</w:t>
                  </w:r>
                </w:p>
              </w:tc>
              <w:tc>
                <w:tcPr>
                  <w:tcW w:w="2480" w:type="dxa"/>
                </w:tcPr>
                <w:p>
                  <w:pPr>
                    <w:spacing w:line="400" w:lineRule="exact"/>
                    <w:rPr>
                      <w:sz w:val="18"/>
                      <w:szCs w:val="18"/>
                    </w:rPr>
                  </w:pPr>
                  <w:r>
                    <w:rPr>
                      <w:rFonts w:hint="eastAsia"/>
                      <w:sz w:val="18"/>
                      <w:szCs w:val="18"/>
                    </w:rPr>
                    <w:t>从顾客、供应商和合作伙伴获取的知识，产品质量控制文件等知识等，包括：</w:t>
                  </w:r>
                </w:p>
                <w:p>
                  <w:pPr>
                    <w:spacing w:line="400" w:lineRule="exact"/>
                    <w:rPr>
                      <w:sz w:val="18"/>
                      <w:szCs w:val="18"/>
                    </w:rPr>
                  </w:pPr>
                  <w:r>
                    <w:rPr>
                      <w:rFonts w:hint="eastAsia"/>
                      <w:sz w:val="18"/>
                      <w:szCs w:val="18"/>
                    </w:rPr>
                    <w:t>与产品有关的国际标准、国家标准、行业标准和地方标准；与产品有关的环境、职业健康安全管理等方面的法律、法规和其他方面的要求。</w:t>
                  </w:r>
                </w:p>
                <w:p>
                  <w:pPr>
                    <w:rPr>
                      <w:sz w:val="18"/>
                      <w:szCs w:val="18"/>
                    </w:rPr>
                  </w:pPr>
                  <w:r>
                    <w:rPr>
                      <w:rFonts w:hint="eastAsia"/>
                      <w:sz w:val="18"/>
                      <w:szCs w:val="18"/>
                    </w:rPr>
                    <w:t>从客户、政府、供应商、竞争对手等相关方获取的产品质量标准、环境标准和职业健康安全标准、先进的生产技术、管理方法、管理理念及其他们对产品和企业的期望。</w:t>
                  </w:r>
                </w:p>
              </w:tc>
              <w:tc>
                <w:tcPr>
                  <w:tcW w:w="1809" w:type="dxa"/>
                </w:tcPr>
                <w:p>
                  <w:r>
                    <w:rPr>
                      <w:rFonts w:hint="eastAsia"/>
                    </w:rPr>
                    <w:t>公司各部门</w:t>
                  </w:r>
                </w:p>
              </w:tc>
              <w:tc>
                <w:tcPr>
                  <w:tcW w:w="1809" w:type="dxa"/>
                </w:tcPr>
                <w:p>
                  <w:r>
                    <w:rPr>
                      <w:rFonts w:hint="eastAsia"/>
                    </w:rPr>
                    <w:sym w:font="Wingdings" w:char="00FE"/>
                  </w:r>
                  <w:r>
                    <w:rPr>
                      <w:rFonts w:hint="eastAsia"/>
                    </w:rPr>
                    <w:t>交流会议</w:t>
                  </w:r>
                </w:p>
                <w:p>
                  <w:r>
                    <w:rPr>
                      <w:rFonts w:hint="eastAsia"/>
                    </w:rPr>
                    <w:sym w:font="Wingdings" w:char="00FE"/>
                  </w:r>
                  <w:r>
                    <w:rPr>
                      <w:rFonts w:hint="eastAsia"/>
                    </w:rPr>
                    <w:t>工作总结</w:t>
                  </w:r>
                </w:p>
                <w:p>
                  <w:r>
                    <w:rPr>
                      <w:rFonts w:hint="eastAsia"/>
                    </w:rPr>
                    <w:sym w:font="Wingdings" w:char="00FE"/>
                  </w:r>
                  <w:r>
                    <w:rPr>
                      <w:rFonts w:hint="eastAsia"/>
                    </w:rPr>
                    <w:t>辅导</w:t>
                  </w:r>
                </w:p>
                <w:p>
                  <w:r>
                    <w:rPr>
                      <w:rFonts w:hint="eastAsia"/>
                    </w:rPr>
                    <w:sym w:font="Wingdings" w:char="00FE"/>
                  </w:r>
                  <w:r>
                    <w:rPr>
                      <w:rFonts w:hint="eastAsia"/>
                    </w:rPr>
                    <w:t>培训</w:t>
                  </w:r>
                </w:p>
                <w:p>
                  <w:r>
                    <w:rPr>
                      <w:rFonts w:hint="eastAsia"/>
                    </w:rPr>
                    <w:sym w:font="Wingdings" w:char="00A8"/>
                  </w:r>
                </w:p>
              </w:tc>
              <w:tc>
                <w:tcPr>
                  <w:tcW w:w="1809" w:type="dxa"/>
                </w:tcPr>
                <w:p>
                  <w:r>
                    <w:rPr>
                      <w:rFonts w:hint="eastAsia"/>
                    </w:rPr>
                    <w:sym w:font="Wingdings" w:char="00FE"/>
                  </w:r>
                  <w:r>
                    <w:rPr>
                      <w:rFonts w:hint="eastAsia"/>
                    </w:rPr>
                    <w:t>不定期</w:t>
                  </w:r>
                </w:p>
                <w:p>
                  <w:r>
                    <w:rPr>
                      <w:rFonts w:hint="eastAsia"/>
                    </w:rPr>
                    <w:sym w:font="Wingdings" w:char="00A8"/>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bl>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意识</w:t>
            </w:r>
          </w:p>
        </w:tc>
        <w:tc>
          <w:tcPr>
            <w:tcW w:w="960" w:type="dxa"/>
            <w:vMerge w:val="restart"/>
          </w:tcPr>
          <w:p>
            <w:r>
              <w:rPr>
                <w:rFonts w:hint="eastAsia"/>
              </w:rPr>
              <w:t xml:space="preserve">Q7.3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《人力资源控制程序》、</w:t>
            </w:r>
            <w:r>
              <w:rPr>
                <w:rFonts w:hint="eastAsia"/>
              </w:rPr>
              <w:sym w:font="Wingdings" w:char="00A8"/>
            </w:r>
            <w:r>
              <w:rPr>
                <w:rFonts w:hint="eastAsia"/>
              </w:rPr>
              <w:t>《能力和意识控制程序》</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组织工作人员提高质量意识的方式：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质量方针</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相关的质量目标</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对质量管理体系有效性的贡献，包括改进绩效的益处；</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不符合质量管理体系要求的后果</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☑培训□其他</w:t>
                  </w:r>
                </w:p>
              </w:tc>
              <w:tc>
                <w:tcPr>
                  <w:tcW w:w="1968"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Merge w:val="restart"/>
          </w:tcPr>
          <w:p>
            <w:r>
              <w:rPr>
                <w:rFonts w:hint="eastAsia"/>
              </w:rPr>
              <w:t>管理评审</w:t>
            </w:r>
          </w:p>
        </w:tc>
        <w:tc>
          <w:tcPr>
            <w:tcW w:w="960" w:type="dxa"/>
            <w:vMerge w:val="restart"/>
          </w:tcPr>
          <w:p>
            <w:r>
              <w:rPr>
                <w:rFonts w:hint="eastAsia"/>
              </w:rPr>
              <w:t>Q9.3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《管理评审控制程序》</w:t>
            </w:r>
            <w:r>
              <w:rPr>
                <w:rFonts w:hint="eastAsia"/>
              </w:rPr>
              <w:sym w:font="Wingdings" w:char="00FE"/>
            </w:r>
            <w:r>
              <w:rPr>
                <w:rFonts w:hint="eastAsia"/>
              </w:rPr>
              <w:t>手册第9.3条款</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vMerge w:val="continue"/>
          </w:tcPr>
          <w:p/>
        </w:tc>
        <w:tc>
          <w:tcPr>
            <w:tcW w:w="960" w:type="dxa"/>
            <w:vMerge w:val="continue"/>
          </w:tcPr>
          <w:p/>
        </w:tc>
        <w:tc>
          <w:tcPr>
            <w:tcW w:w="745" w:type="dxa"/>
          </w:tcPr>
          <w:p>
            <w:pPr>
              <w:widowControl/>
              <w:spacing w:before="40"/>
              <w:jc w:val="left"/>
              <w:rPr>
                <w:color w:val="000000"/>
                <w:szCs w:val="18"/>
              </w:rPr>
            </w:pPr>
          </w:p>
          <w:p>
            <w:r>
              <w:rPr>
                <w:rFonts w:hint="eastAsia"/>
              </w:rPr>
              <w:t>运行证据</w:t>
            </w:r>
          </w:p>
        </w:tc>
        <w:tc>
          <w:tcPr>
            <w:tcW w:w="9259" w:type="dxa"/>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2020</w:t>
            </w:r>
            <w:r>
              <w:rPr>
                <w:rFonts w:hint="eastAsia"/>
                <w:color w:val="000000"/>
                <w:szCs w:val="18"/>
              </w:rPr>
              <w:t>年</w:t>
            </w:r>
            <w:r>
              <w:rPr>
                <w:rFonts w:hint="eastAsia"/>
                <w:color w:val="000000"/>
                <w:szCs w:val="18"/>
                <w:u w:val="single"/>
              </w:rPr>
              <w:t>5</w:t>
            </w:r>
            <w:r>
              <w:rPr>
                <w:rFonts w:hint="eastAsia"/>
                <w:color w:val="000000"/>
                <w:szCs w:val="18"/>
              </w:rPr>
              <w:t>月</w:t>
            </w:r>
            <w:r>
              <w:rPr>
                <w:rFonts w:hint="eastAsia"/>
                <w:color w:val="000000"/>
                <w:szCs w:val="18"/>
                <w:u w:val="single"/>
              </w:rPr>
              <w:t>20</w:t>
            </w:r>
            <w:r>
              <w:rPr>
                <w:rFonts w:hint="eastAsia"/>
                <w:color w:val="000000"/>
                <w:szCs w:val="18"/>
              </w:rPr>
              <w:t>日实施了管理评审；</w:t>
            </w:r>
          </w:p>
          <w:p>
            <w:pPr>
              <w:widowControl/>
              <w:spacing w:before="40"/>
              <w:jc w:val="left"/>
              <w:rPr>
                <w:color w:val="000000"/>
                <w:szCs w:val="18"/>
              </w:rPr>
            </w:pPr>
            <w:r>
              <w:rPr>
                <w:rFonts w:hint="eastAsia"/>
                <w:color w:val="000000"/>
                <w:szCs w:val="18"/>
              </w:rPr>
              <w:t>查看</w:t>
            </w:r>
            <w:r>
              <w:rPr>
                <w:rFonts w:hint="eastAsia"/>
                <w:color w:val="000000"/>
                <w:szCs w:val="21"/>
              </w:rPr>
              <w:t>☑管理评审计划  ☑管理评审记录（工作总结）  □管理评审纪要  ☑管理评审报告</w:t>
            </w:r>
          </w:p>
          <w:p>
            <w:pPr>
              <w:widowControl/>
              <w:spacing w:before="40"/>
              <w:jc w:val="left"/>
              <w:rPr>
                <w:color w:val="000000"/>
                <w:szCs w:val="21"/>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color w:val="000000"/>
                      <w:szCs w:val="21"/>
                    </w:rPr>
                    <w:t>管理评审输入信息</w:t>
                  </w:r>
                </w:p>
              </w:tc>
              <w:tc>
                <w:tcPr>
                  <w:tcW w:w="1990"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列举描述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以往管理评审所采取措施的情况；</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highlight w:val="cyan"/>
                    </w:rPr>
                  </w:pPr>
                  <w:r>
                    <w:rPr>
                      <w:rFonts w:hint="eastAsia"/>
                      <w:color w:val="000000"/>
                      <w:szCs w:val="21"/>
                    </w:rPr>
                    <w:t>初次认证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与质量管理体系相关的内外部因素的变化；</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顾客满意和有关相关方的反馈及趋势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满足顾客及相关方需求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质量目标的实现程度及趋势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完成质量目标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过程绩效以及产品和服务的合格情况及趋势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生产及质量目标达标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不合格及纠正措施及趋势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无质量投诉，内审不符合已改进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监视和测量结果及趋势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2020年目标我完成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内审、外部审核结果及趋势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外部供方的绩效及趋势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进行供应商评鉴，合格供方未变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资源的充分性；</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可以达标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应对风险和机遇所采取措施的有效性</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改进的机会</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暂无</w:t>
                  </w:r>
                </w:p>
              </w:tc>
            </w:tr>
          </w:tbl>
          <w:p>
            <w:pPr>
              <w:widowControl/>
              <w:spacing w:before="40"/>
              <w:jc w:val="left"/>
              <w:rPr>
                <w:color w:val="000000"/>
                <w:szCs w:val="21"/>
                <w:highlight w:val="cyan"/>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4620"/>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color w:val="000000"/>
                      <w:szCs w:val="18"/>
                    </w:rPr>
                    <w:t>管理评审输出信息</w:t>
                  </w:r>
                </w:p>
              </w:tc>
              <w:tc>
                <w:tcPr>
                  <w:tcW w:w="4620" w:type="dxa"/>
                </w:tcPr>
                <w:p>
                  <w:pPr>
                    <w:widowControl/>
                    <w:spacing w:before="40"/>
                    <w:jc w:val="left"/>
                    <w:rPr>
                      <w:color w:val="000000"/>
                      <w:szCs w:val="21"/>
                    </w:rPr>
                  </w:pPr>
                  <w:r>
                    <w:rPr>
                      <w:rFonts w:hint="eastAsia"/>
                      <w:color w:val="000000"/>
                      <w:szCs w:val="21"/>
                    </w:rPr>
                    <w:t>措施描述（</w:t>
                  </w:r>
                  <w:r>
                    <w:rPr>
                      <w:rFonts w:hint="eastAsia"/>
                      <w:b/>
                      <w:bCs/>
                      <w:color w:val="000000"/>
                      <w:szCs w:val="21"/>
                    </w:rPr>
                    <w:t>举例</w:t>
                  </w:r>
                  <w:r>
                    <w:rPr>
                      <w:rFonts w:hint="eastAsia"/>
                      <w:color w:val="000000"/>
                      <w:szCs w:val="21"/>
                    </w:rPr>
                    <w:t>）</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改进的机会</w:t>
                  </w:r>
                </w:p>
              </w:tc>
              <w:tc>
                <w:tcPr>
                  <w:tcW w:w="4620" w:type="dxa"/>
                </w:tcPr>
                <w:p>
                  <w:pPr>
                    <w:widowControl/>
                    <w:spacing w:before="40"/>
                    <w:jc w:val="left"/>
                    <w:rPr>
                      <w:rFonts w:eastAsia="仿宋_GB2312"/>
                      <w:color w:val="000000"/>
                      <w:szCs w:val="21"/>
                    </w:rPr>
                  </w:pPr>
                  <w:r>
                    <w:rPr>
                      <w:rFonts w:hint="eastAsia"/>
                      <w:szCs w:val="22"/>
                    </w:rPr>
                    <w:t>对ISO9001标准仍然不够熟悉，组织一次培训，学习标准及手册、程序要点。</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质量管理体系所需的变更</w:t>
                  </w:r>
                </w:p>
              </w:tc>
              <w:tc>
                <w:tcPr>
                  <w:tcW w:w="4620" w:type="dxa"/>
                </w:tcPr>
                <w:p>
                  <w:pPr>
                    <w:widowControl/>
                    <w:spacing w:before="40"/>
                    <w:jc w:val="left"/>
                    <w:rPr>
                      <w:color w:val="000000"/>
                      <w:szCs w:val="21"/>
                    </w:rPr>
                  </w:pPr>
                  <w:r>
                    <w:rPr>
                      <w:rFonts w:hint="eastAsia"/>
                      <w:color w:val="000000"/>
                      <w:szCs w:val="21"/>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资源需求</w:t>
                  </w:r>
                </w:p>
              </w:tc>
              <w:tc>
                <w:tcPr>
                  <w:tcW w:w="4620" w:type="dxa"/>
                </w:tcPr>
                <w:p>
                  <w:pPr>
                    <w:widowControl/>
                    <w:spacing w:before="40"/>
                    <w:jc w:val="left"/>
                    <w:rPr>
                      <w:color w:val="000000"/>
                      <w:szCs w:val="21"/>
                    </w:rPr>
                  </w:pPr>
                  <w:r>
                    <w:rPr>
                      <w:rFonts w:hint="eastAsia"/>
                      <w:color w:val="000000"/>
                      <w:szCs w:val="21"/>
                    </w:rPr>
                    <w:t>投入资金</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rPr>
                <w:highlight w:val="cyan"/>
              </w:rPr>
            </w:pPr>
          </w:p>
          <w:p>
            <w:pPr>
              <w:rPr>
                <w:highlight w:val="cya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监视、测量、分析和评价</w:t>
            </w:r>
          </w:p>
          <w:p/>
        </w:tc>
        <w:tc>
          <w:tcPr>
            <w:tcW w:w="960" w:type="dxa"/>
            <w:vMerge w:val="restart"/>
          </w:tcPr>
          <w:p>
            <w:r>
              <w:rPr>
                <w:rFonts w:hint="eastAsia"/>
              </w:rPr>
              <w:t>Q9.1.1</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管理手册9.1.1章，</w:t>
            </w:r>
            <w:r>
              <w:rPr>
                <w:rFonts w:hint="eastAsia"/>
              </w:rPr>
              <w:sym w:font="Wingdings" w:char="00FE"/>
            </w:r>
            <w:r>
              <w:rPr>
                <w:rFonts w:hint="eastAsia"/>
              </w:rPr>
              <w:t>《监视、测量、分析和评价控制程序》</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组织对监视和测量的策划</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1843"/>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监视和测量的对象</w:t>
                  </w:r>
                </w:p>
              </w:tc>
              <w:tc>
                <w:tcPr>
                  <w:tcW w:w="1843" w:type="dxa"/>
                </w:tcPr>
                <w:p>
                  <w:r>
                    <w:rPr>
                      <w:rFonts w:hint="eastAsia"/>
                    </w:rPr>
                    <w:t>监视、测量的方法</w:t>
                  </w:r>
                </w:p>
              </w:tc>
              <w:tc>
                <w:tcPr>
                  <w:tcW w:w="1986" w:type="dxa"/>
                </w:tcPr>
                <w:p>
                  <w:r>
                    <w:rPr>
                      <w:rFonts w:hint="eastAsia"/>
                    </w:rPr>
                    <w:t>监视和测量的频次和时机</w:t>
                  </w:r>
                </w:p>
              </w:tc>
              <w:tc>
                <w:tcPr>
                  <w:tcW w:w="1887" w:type="dxa"/>
                </w:tcPr>
                <w:p>
                  <w:r>
                    <w:rPr>
                      <w:rFonts w:hint="eastAsia"/>
                    </w:rPr>
                    <w:t>分析和评价的方法</w:t>
                  </w:r>
                </w:p>
              </w:tc>
              <w:tc>
                <w:tcPr>
                  <w:tcW w:w="2034" w:type="dxa"/>
                </w:tcPr>
                <w:p>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产品</w:t>
                  </w:r>
                </w:p>
              </w:tc>
              <w:tc>
                <w:tcPr>
                  <w:tcW w:w="1843" w:type="dxa"/>
                </w:tcPr>
                <w:p>
                  <w:r>
                    <w:rPr>
                      <w:rFonts w:hint="eastAsia"/>
                    </w:rPr>
                    <w:t>产品（原材料、半成品、成品）检验</w:t>
                  </w:r>
                </w:p>
              </w:tc>
              <w:tc>
                <w:tcPr>
                  <w:tcW w:w="1986" w:type="dxa"/>
                </w:tcPr>
                <w:p>
                  <w:r>
                    <w:rPr>
                      <w:rFonts w:hint="eastAsia"/>
                      <w:color w:val="000000"/>
                      <w:szCs w:val="21"/>
                    </w:rPr>
                    <w:t>□</w:t>
                  </w:r>
                  <w:r>
                    <w:rPr>
                      <w:rFonts w:hint="eastAsia"/>
                    </w:rPr>
                    <w:t>见检验计划/规程</w:t>
                  </w:r>
                  <w:r>
                    <w:rPr>
                      <w:rFonts w:hint="eastAsia"/>
                      <w:color w:val="000000"/>
                      <w:szCs w:val="21"/>
                    </w:rPr>
                    <w:t>☑每批</w:t>
                  </w:r>
                </w:p>
              </w:tc>
              <w:tc>
                <w:tcPr>
                  <w:tcW w:w="1887" w:type="dxa"/>
                </w:tcPr>
                <w:p>
                  <w:r>
                    <w:rPr>
                      <w:rFonts w:hint="eastAsia"/>
                    </w:rPr>
                    <w:t>对产品合格率进行统计，</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过程</w:t>
                  </w:r>
                </w:p>
              </w:tc>
              <w:tc>
                <w:tcPr>
                  <w:tcW w:w="1843" w:type="dxa"/>
                </w:tcPr>
                <w:p>
                  <w:r>
                    <w:rPr>
                      <w:rFonts w:hint="eastAsia"/>
                    </w:rPr>
                    <w:t>现场巡视</w:t>
                  </w:r>
                </w:p>
                <w:p>
                  <w:r>
                    <w:rPr>
                      <w:rFonts w:hint="eastAsia"/>
                    </w:rPr>
                    <w:t>抽查记录</w:t>
                  </w:r>
                </w:p>
              </w:tc>
              <w:tc>
                <w:tcPr>
                  <w:tcW w:w="1986" w:type="dxa"/>
                </w:tcPr>
                <w:p>
                  <w:r>
                    <w:rPr>
                      <w:rFonts w:hint="eastAsia"/>
                      <w:color w:val="000000"/>
                      <w:szCs w:val="21"/>
                    </w:rPr>
                    <w:t>☑</w:t>
                  </w:r>
                  <w:r>
                    <w:rPr>
                      <w:rFonts w:hint="eastAsia"/>
                    </w:rPr>
                    <w:t>定期检查</w:t>
                  </w:r>
                </w:p>
                <w:p>
                  <w:r>
                    <w:rPr>
                      <w:rFonts w:hint="eastAsia"/>
                      <w:color w:val="000000"/>
                      <w:szCs w:val="21"/>
                    </w:rPr>
                    <w:t>☑</w:t>
                  </w:r>
                  <w:r>
                    <w:rPr>
                      <w:rFonts w:hint="eastAsia"/>
                    </w:rPr>
                    <w:t>抽查</w:t>
                  </w:r>
                </w:p>
              </w:tc>
              <w:tc>
                <w:tcPr>
                  <w:tcW w:w="1887" w:type="dxa"/>
                </w:tcPr>
                <w:p>
                  <w:r>
                    <w:rPr>
                      <w:rFonts w:hint="eastAsia"/>
                    </w:rPr>
                    <w:t>对质量目标/Cpk进行统计</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体系</w:t>
                  </w:r>
                </w:p>
              </w:tc>
              <w:tc>
                <w:tcPr>
                  <w:tcW w:w="1843" w:type="dxa"/>
                </w:tcPr>
                <w:p>
                  <w:r>
                    <w:rPr>
                      <w:rFonts w:hint="eastAsia"/>
                    </w:rPr>
                    <w:t>内部审核</w:t>
                  </w:r>
                </w:p>
              </w:tc>
              <w:tc>
                <w:tcPr>
                  <w:tcW w:w="1986" w:type="dxa"/>
                </w:tcPr>
                <w:p>
                  <w:r>
                    <w:rPr>
                      <w:rFonts w:hint="eastAsia"/>
                      <w:color w:val="000000"/>
                      <w:szCs w:val="21"/>
                    </w:rPr>
                    <w:t>□</w:t>
                  </w:r>
                  <w:r>
                    <w:rPr>
                      <w:rFonts w:hint="eastAsia"/>
                    </w:rPr>
                    <w:t>按年度内审计划</w:t>
                  </w:r>
                </w:p>
                <w:p>
                  <w:r>
                    <w:rPr>
                      <w:rFonts w:hint="eastAsia"/>
                      <w:color w:val="000000"/>
                      <w:szCs w:val="21"/>
                    </w:rPr>
                    <w:t>☑</w:t>
                  </w:r>
                  <w:r>
                    <w:rPr>
                      <w:rFonts w:hint="eastAsia"/>
                    </w:rPr>
                    <w:t>每年一次</w:t>
                  </w:r>
                </w:p>
                <w:p>
                  <w:r>
                    <w:rPr>
                      <w:rFonts w:hint="eastAsia"/>
                      <w:color w:val="000000"/>
                      <w:szCs w:val="21"/>
                    </w:rPr>
                    <w:t>□特殊情况增加</w:t>
                  </w:r>
                </w:p>
              </w:tc>
              <w:tc>
                <w:tcPr>
                  <w:tcW w:w="1887" w:type="dxa"/>
                </w:tcPr>
                <w:p>
                  <w:r>
                    <w:rPr>
                      <w:rFonts w:hint="eastAsia"/>
                    </w:rPr>
                    <w:t>对内审不符合项进行分析</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体系有效性</w:t>
                  </w:r>
                </w:p>
              </w:tc>
              <w:tc>
                <w:tcPr>
                  <w:tcW w:w="1843" w:type="dxa"/>
                </w:tcPr>
                <w:p>
                  <w:r>
                    <w:rPr>
                      <w:rFonts w:hint="eastAsia"/>
                    </w:rPr>
                    <w:t>管理评审</w:t>
                  </w:r>
                </w:p>
              </w:tc>
              <w:tc>
                <w:tcPr>
                  <w:tcW w:w="1986" w:type="dxa"/>
                </w:tcPr>
                <w:p>
                  <w:r>
                    <w:rPr>
                      <w:rFonts w:hint="eastAsia"/>
                      <w:color w:val="000000"/>
                      <w:szCs w:val="21"/>
                    </w:rPr>
                    <w:t>☑</w:t>
                  </w:r>
                  <w:r>
                    <w:rPr>
                      <w:rFonts w:hint="eastAsia"/>
                    </w:rPr>
                    <w:t>每年一次</w:t>
                  </w:r>
                </w:p>
                <w:p>
                  <w:r>
                    <w:rPr>
                      <w:rFonts w:hint="eastAsia"/>
                      <w:color w:val="000000"/>
                      <w:szCs w:val="21"/>
                    </w:rPr>
                    <w:t>□特殊情况增加</w:t>
                  </w:r>
                </w:p>
              </w:tc>
              <w:tc>
                <w:tcPr>
                  <w:tcW w:w="1887" w:type="dxa"/>
                </w:tcPr>
                <w:p>
                  <w:r>
                    <w:rPr>
                      <w:rFonts w:hint="eastAsia"/>
                    </w:rPr>
                    <w:t>对QMS存在的需要问题进行分析</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顾客满意</w:t>
                  </w:r>
                </w:p>
              </w:tc>
              <w:tc>
                <w:tcPr>
                  <w:tcW w:w="1843" w:type="dxa"/>
                </w:tcPr>
                <w:p>
                  <w:r>
                    <w:rPr>
                      <w:rFonts w:hint="eastAsia"/>
                    </w:rPr>
                    <w:t>问卷调查</w:t>
                  </w:r>
                </w:p>
              </w:tc>
              <w:tc>
                <w:tcPr>
                  <w:tcW w:w="1986" w:type="dxa"/>
                </w:tcPr>
                <w:p>
                  <w:r>
                    <w:rPr>
                      <w:rFonts w:hint="eastAsia"/>
                      <w:color w:val="000000"/>
                      <w:szCs w:val="21"/>
                    </w:rPr>
                    <w:t>☑</w:t>
                  </w:r>
                  <w:r>
                    <w:rPr>
                      <w:rFonts w:hint="eastAsia"/>
                    </w:rPr>
                    <w:t>每年一次</w:t>
                  </w:r>
                </w:p>
                <w:p>
                  <w:r>
                    <w:rPr>
                      <w:rFonts w:hint="eastAsia"/>
                      <w:color w:val="000000"/>
                      <w:szCs w:val="21"/>
                    </w:rPr>
                    <w:t>□</w:t>
                  </w:r>
                </w:p>
              </w:tc>
              <w:tc>
                <w:tcPr>
                  <w:tcW w:w="1887" w:type="dxa"/>
                </w:tcPr>
                <w:p>
                  <w:r>
                    <w:rPr>
                      <w:rFonts w:hint="eastAsia"/>
                    </w:rPr>
                    <w:t>对顾客满意率进行统计</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bl>
          <w:p>
            <w:pPr>
              <w:rPr>
                <w:highlight w:val="cyan"/>
              </w:rPr>
            </w:pP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分析与评价</w:t>
            </w:r>
          </w:p>
        </w:tc>
        <w:tc>
          <w:tcPr>
            <w:tcW w:w="960" w:type="dxa"/>
            <w:vMerge w:val="restart"/>
          </w:tcPr>
          <w:p>
            <w:r>
              <w:rPr>
                <w:rFonts w:hint="eastAsia"/>
              </w:rPr>
              <w:t>Q9.1.3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管理手册10.3章，</w:t>
            </w:r>
            <w:r>
              <w:rPr>
                <w:rFonts w:hint="eastAsia"/>
              </w:rPr>
              <w:sym w:font="Wingdings" w:char="00FE"/>
            </w:r>
            <w:r>
              <w:rPr>
                <w:rFonts w:hint="eastAsia"/>
              </w:rPr>
              <w:t>《改进控制程序》</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对获得的数据和信息进行分析与评价</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651"/>
              <w:gridCol w:w="1811"/>
              <w:gridCol w:w="1342"/>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分析和评价的对象</w:t>
                  </w:r>
                </w:p>
              </w:tc>
              <w:tc>
                <w:tcPr>
                  <w:tcW w:w="2651" w:type="dxa"/>
                </w:tcPr>
                <w:p>
                  <w:r>
                    <w:rPr>
                      <w:rFonts w:hint="eastAsia"/>
                    </w:rPr>
                    <w:t>分析和评价的方法</w:t>
                  </w:r>
                </w:p>
              </w:tc>
              <w:tc>
                <w:tcPr>
                  <w:tcW w:w="1811" w:type="dxa"/>
                </w:tcPr>
                <w:p>
                  <w:r>
                    <w:rPr>
                      <w:rFonts w:hint="eastAsia"/>
                    </w:rPr>
                    <w:t>分析和评价的频次和时机</w:t>
                  </w:r>
                </w:p>
              </w:tc>
              <w:tc>
                <w:tcPr>
                  <w:tcW w:w="1342" w:type="dxa"/>
                </w:tcPr>
                <w:p>
                  <w:r>
                    <w:rPr>
                      <w:rFonts w:hint="eastAsia"/>
                    </w:rPr>
                    <w:t>使用的统计技术</w:t>
                  </w:r>
                </w:p>
              </w:tc>
              <w:tc>
                <w:tcPr>
                  <w:tcW w:w="1314" w:type="dxa"/>
                </w:tcPr>
                <w:p>
                  <w:r>
                    <w:rPr>
                      <w:rFonts w:hint="eastAsia"/>
                    </w:rPr>
                    <w:t>分析的结果用于改进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产品和服务的符合性</w:t>
                  </w:r>
                </w:p>
              </w:tc>
              <w:tc>
                <w:tcPr>
                  <w:tcW w:w="2651" w:type="dxa"/>
                  <w:shd w:val="clear" w:color="auto" w:fill="auto"/>
                </w:tcPr>
                <w:p>
                  <w:r>
                    <w:rPr>
                      <w:rFonts w:hint="eastAsia"/>
                    </w:rPr>
                    <w:t>对产品合格率进行统计分析，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鱼刺图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顾客满意程度</w:t>
                  </w:r>
                </w:p>
              </w:tc>
              <w:tc>
                <w:tcPr>
                  <w:tcW w:w="2651" w:type="dxa"/>
                  <w:shd w:val="clear" w:color="auto" w:fill="auto"/>
                </w:tcPr>
                <w:p>
                  <w:r>
                    <w:rPr>
                      <w:rFonts w:hint="eastAsia"/>
                    </w:rPr>
                    <w:t>对顾客满意率进行统计</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鱼刺图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质量管理体系的绩效和有效性</w:t>
                  </w:r>
                </w:p>
              </w:tc>
              <w:tc>
                <w:tcPr>
                  <w:tcW w:w="2651" w:type="dxa"/>
                  <w:shd w:val="clear" w:color="auto" w:fill="auto"/>
                </w:tcPr>
                <w:p>
                  <w:r>
                    <w:rPr>
                      <w:rFonts w:hint="eastAsia"/>
                    </w:rPr>
                    <w:t>对内审不符合项进行分析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鱼刺图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策划是否得到有效实施</w:t>
                  </w:r>
                </w:p>
              </w:tc>
              <w:tc>
                <w:tcPr>
                  <w:tcW w:w="2651" w:type="dxa"/>
                  <w:shd w:val="clear" w:color="auto" w:fill="auto"/>
                </w:tcPr>
                <w:p>
                  <w:r>
                    <w:rPr>
                      <w:rFonts w:hint="eastAsia"/>
                    </w:rPr>
                    <w:t>对质量目标完成/Cpk进行统计</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SPC</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针对风险和机遇所采取措施的有效性</w:t>
                  </w:r>
                </w:p>
              </w:tc>
              <w:tc>
                <w:tcPr>
                  <w:tcW w:w="2651" w:type="dxa"/>
                  <w:shd w:val="clear" w:color="auto" w:fill="auto"/>
                </w:tcPr>
                <w:p>
                  <w:r>
                    <w:rPr>
                      <w:rFonts w:hint="eastAsia"/>
                    </w:rPr>
                    <w:t>对质量目标完成进行统计</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外部供方的绩效</w:t>
                  </w:r>
                </w:p>
              </w:tc>
              <w:tc>
                <w:tcPr>
                  <w:tcW w:w="2651" w:type="dxa"/>
                  <w:shd w:val="clear" w:color="auto" w:fill="auto"/>
                </w:tcPr>
                <w:p>
                  <w:r>
                    <w:rPr>
                      <w:rFonts w:hint="eastAsia"/>
                    </w:rPr>
                    <w:t>对外部供方的供货质量和服务质量进行统计分析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SPC</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质量管理体系改进的需求</w:t>
                  </w:r>
                </w:p>
              </w:tc>
              <w:tc>
                <w:tcPr>
                  <w:tcW w:w="2651" w:type="dxa"/>
                  <w:shd w:val="clear" w:color="auto" w:fill="auto"/>
                </w:tcPr>
                <w:p>
                  <w:r>
                    <w:rPr>
                      <w:rFonts w:hint="eastAsia"/>
                    </w:rPr>
                    <w:t>对QMS存在的需要问题进行分析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SPC</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tc>
              <w:tc>
                <w:tcPr>
                  <w:tcW w:w="2651" w:type="dxa"/>
                </w:tcPr>
                <w:p/>
              </w:tc>
              <w:tc>
                <w:tcPr>
                  <w:tcW w:w="1811" w:type="dxa"/>
                </w:tcPr>
                <w:p>
                  <w:pPr>
                    <w:widowControl/>
                    <w:spacing w:before="40"/>
                    <w:jc w:val="left"/>
                    <w:rPr>
                      <w:color w:val="000000"/>
                      <w:szCs w:val="21"/>
                    </w:rPr>
                  </w:pPr>
                </w:p>
              </w:tc>
              <w:tc>
                <w:tcPr>
                  <w:tcW w:w="1342" w:type="dxa"/>
                </w:tcPr>
                <w:p/>
              </w:tc>
              <w:tc>
                <w:tcPr>
                  <w:tcW w:w="1314" w:type="dxa"/>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bl>
          <w:p>
            <w:pPr>
              <w:rPr>
                <w:highlight w:val="cyan"/>
              </w:rPr>
            </w:pP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改进</w:t>
            </w:r>
          </w:p>
        </w:tc>
        <w:tc>
          <w:tcPr>
            <w:tcW w:w="960" w:type="dxa"/>
            <w:vMerge w:val="restart"/>
          </w:tcPr>
          <w:p>
            <w:r>
              <w:rPr>
                <w:rFonts w:hint="eastAsia"/>
              </w:rPr>
              <w:t>Q10.1</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管理手册10.1章</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组织确定和选择了改进机会，并采取必要措施，以满足顾客要求和增强顾客满意。 </w:t>
            </w:r>
          </w:p>
          <w:p>
            <w:r>
              <w:rPr>
                <w:rFonts w:hint="eastAsia"/>
              </w:rPr>
              <w:t xml:space="preserve">这包括： </w:t>
            </w:r>
          </w:p>
          <w:p>
            <w:r>
              <w:rPr>
                <w:rFonts w:hint="eastAsia"/>
              </w:rPr>
              <w:sym w:font="Wingdings" w:char="00FE"/>
            </w:r>
            <w:r>
              <w:rPr>
                <w:rFonts w:hint="eastAsia"/>
              </w:rPr>
              <w:t xml:space="preserve">改进产品和服务，以满足要求并应对未来的需求和期望；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改进质量管理体系的绩效和有效性。 </w:t>
            </w:r>
          </w:p>
          <w:p/>
          <w:p>
            <w:r>
              <w:rPr>
                <w:rFonts w:hint="eastAsia"/>
              </w:rPr>
              <w:t xml:space="preserve">改进包括：纠正、纠正措施、持续改进、突破性变革、创新和重组。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10.3 持续改进</w:t>
            </w:r>
          </w:p>
          <w:p/>
        </w:tc>
        <w:tc>
          <w:tcPr>
            <w:tcW w:w="960" w:type="dxa"/>
            <w:vMerge w:val="restart"/>
          </w:tcPr>
          <w:p>
            <w:r>
              <w:rPr>
                <w:rFonts w:hint="eastAsia"/>
              </w:rPr>
              <w:t>Q10.3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管理手册10.3章</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组织已持续改进质量管理体系的适宜性、充分性和有效性。 </w:t>
            </w:r>
          </w:p>
          <w:p>
            <w:r>
              <w:rPr>
                <w:rFonts w:hint="eastAsia"/>
              </w:rPr>
              <w:t>组织考虑了分析和评价的结果以及管理评审的输出，确定是否存在需求或机遇，这些需求或机遇应作为持续改进的一部分加以应对。</w:t>
            </w:r>
          </w:p>
          <w:p/>
          <w:p>
            <w:r>
              <w:rPr>
                <w:rFonts w:hint="eastAsia"/>
              </w:rPr>
              <w:sym w:font="Wingdings" w:char="00FE"/>
            </w:r>
            <w:r>
              <w:rPr>
                <w:rFonts w:hint="eastAsia"/>
              </w:rPr>
              <w:t xml:space="preserve"> 管理评审改进措施已落实</w:t>
            </w:r>
          </w:p>
          <w:p>
            <w:pPr>
              <w:rPr>
                <w:u w:val="single"/>
              </w:rPr>
            </w:pPr>
            <w:r>
              <w:rPr>
                <w:rFonts w:hint="eastAsia"/>
              </w:rPr>
              <w:sym w:font="Wingdings" w:char="00A8"/>
            </w:r>
            <w:r>
              <w:rPr>
                <w:rFonts w:hint="eastAsia"/>
              </w:rPr>
              <w:t xml:space="preserve"> 管理评审改进措施未落实的原因：</w:t>
            </w:r>
          </w:p>
          <w:p/>
        </w:tc>
        <w:tc>
          <w:tcPr>
            <w:tcW w:w="1585" w:type="dxa"/>
            <w:vMerge w:val="continue"/>
          </w:tcPr>
          <w:p/>
        </w:tc>
      </w:tr>
    </w:tbl>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0" w:usb3="00000000" w:csb0="0002009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0000000000000000000"/>
    <w:charset w:val="00"/>
    <w:family w:val="auto"/>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194F9"/>
    <w:multiLevelType w:val="singleLevel"/>
    <w:tmpl w:val="19E194F9"/>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52E9F"/>
    <w:rsid w:val="00062E46"/>
    <w:rsid w:val="000A2303"/>
    <w:rsid w:val="000A5156"/>
    <w:rsid w:val="000C7BC8"/>
    <w:rsid w:val="000E6B21"/>
    <w:rsid w:val="00113890"/>
    <w:rsid w:val="00131452"/>
    <w:rsid w:val="00163698"/>
    <w:rsid w:val="00181AC2"/>
    <w:rsid w:val="001A2D7F"/>
    <w:rsid w:val="001A3ECF"/>
    <w:rsid w:val="001C109E"/>
    <w:rsid w:val="001D485A"/>
    <w:rsid w:val="0020368E"/>
    <w:rsid w:val="002054BE"/>
    <w:rsid w:val="00214705"/>
    <w:rsid w:val="00226071"/>
    <w:rsid w:val="00257414"/>
    <w:rsid w:val="002703A1"/>
    <w:rsid w:val="00270B74"/>
    <w:rsid w:val="00285F78"/>
    <w:rsid w:val="00287912"/>
    <w:rsid w:val="00287984"/>
    <w:rsid w:val="002939AD"/>
    <w:rsid w:val="002A4686"/>
    <w:rsid w:val="002A57FE"/>
    <w:rsid w:val="002B5153"/>
    <w:rsid w:val="002C3A3B"/>
    <w:rsid w:val="00314AF6"/>
    <w:rsid w:val="00315FCF"/>
    <w:rsid w:val="00322366"/>
    <w:rsid w:val="0032303B"/>
    <w:rsid w:val="00337922"/>
    <w:rsid w:val="00340867"/>
    <w:rsid w:val="0034330B"/>
    <w:rsid w:val="00350ACE"/>
    <w:rsid w:val="00352589"/>
    <w:rsid w:val="00371EFE"/>
    <w:rsid w:val="00380837"/>
    <w:rsid w:val="00382304"/>
    <w:rsid w:val="00394913"/>
    <w:rsid w:val="003A198A"/>
    <w:rsid w:val="003D3260"/>
    <w:rsid w:val="003D4553"/>
    <w:rsid w:val="003D7C45"/>
    <w:rsid w:val="003F570E"/>
    <w:rsid w:val="00404D55"/>
    <w:rsid w:val="00410914"/>
    <w:rsid w:val="00414D9F"/>
    <w:rsid w:val="00417490"/>
    <w:rsid w:val="00440C07"/>
    <w:rsid w:val="004509F8"/>
    <w:rsid w:val="00465CC3"/>
    <w:rsid w:val="00481FFE"/>
    <w:rsid w:val="0048201E"/>
    <w:rsid w:val="0048479F"/>
    <w:rsid w:val="00486134"/>
    <w:rsid w:val="00493B29"/>
    <w:rsid w:val="004950B6"/>
    <w:rsid w:val="004A24D7"/>
    <w:rsid w:val="004A7529"/>
    <w:rsid w:val="004B2CB9"/>
    <w:rsid w:val="004D5ECE"/>
    <w:rsid w:val="005241CD"/>
    <w:rsid w:val="0052613D"/>
    <w:rsid w:val="00531604"/>
    <w:rsid w:val="00536930"/>
    <w:rsid w:val="00560920"/>
    <w:rsid w:val="00564E53"/>
    <w:rsid w:val="00567CED"/>
    <w:rsid w:val="00573CF9"/>
    <w:rsid w:val="00587CF1"/>
    <w:rsid w:val="005A76BD"/>
    <w:rsid w:val="005B65F0"/>
    <w:rsid w:val="005C6D49"/>
    <w:rsid w:val="005D096A"/>
    <w:rsid w:val="005D31E8"/>
    <w:rsid w:val="005D5659"/>
    <w:rsid w:val="00600C20"/>
    <w:rsid w:val="00606DF4"/>
    <w:rsid w:val="00614C0F"/>
    <w:rsid w:val="006216B2"/>
    <w:rsid w:val="0062587A"/>
    <w:rsid w:val="00644FE2"/>
    <w:rsid w:val="00660CEA"/>
    <w:rsid w:val="006624A5"/>
    <w:rsid w:val="006758F6"/>
    <w:rsid w:val="0067640C"/>
    <w:rsid w:val="00681BC2"/>
    <w:rsid w:val="006A34B6"/>
    <w:rsid w:val="006A7063"/>
    <w:rsid w:val="006C5C0A"/>
    <w:rsid w:val="006C61C7"/>
    <w:rsid w:val="006E678B"/>
    <w:rsid w:val="006E7B1D"/>
    <w:rsid w:val="00716E2A"/>
    <w:rsid w:val="00737D38"/>
    <w:rsid w:val="00741AD2"/>
    <w:rsid w:val="00743BF8"/>
    <w:rsid w:val="00751FB9"/>
    <w:rsid w:val="00774C78"/>
    <w:rsid w:val="007757F3"/>
    <w:rsid w:val="00785B63"/>
    <w:rsid w:val="00792035"/>
    <w:rsid w:val="007C1B48"/>
    <w:rsid w:val="007E3B15"/>
    <w:rsid w:val="007E6AEB"/>
    <w:rsid w:val="00801E0A"/>
    <w:rsid w:val="00810FA8"/>
    <w:rsid w:val="00815D94"/>
    <w:rsid w:val="00831CF8"/>
    <w:rsid w:val="008427E6"/>
    <w:rsid w:val="00851400"/>
    <w:rsid w:val="00864668"/>
    <w:rsid w:val="00865758"/>
    <w:rsid w:val="008862CE"/>
    <w:rsid w:val="00891A75"/>
    <w:rsid w:val="008973EE"/>
    <w:rsid w:val="00933816"/>
    <w:rsid w:val="00947A5E"/>
    <w:rsid w:val="00961A97"/>
    <w:rsid w:val="0096433A"/>
    <w:rsid w:val="00971600"/>
    <w:rsid w:val="00985F96"/>
    <w:rsid w:val="009942D2"/>
    <w:rsid w:val="009973B4"/>
    <w:rsid w:val="009C10D7"/>
    <w:rsid w:val="009C28C1"/>
    <w:rsid w:val="009F7EED"/>
    <w:rsid w:val="00A006D5"/>
    <w:rsid w:val="00A015C2"/>
    <w:rsid w:val="00A23A6F"/>
    <w:rsid w:val="00A62846"/>
    <w:rsid w:val="00A775E3"/>
    <w:rsid w:val="00A80636"/>
    <w:rsid w:val="00A83558"/>
    <w:rsid w:val="00A90BA6"/>
    <w:rsid w:val="00AC1924"/>
    <w:rsid w:val="00AF0AAB"/>
    <w:rsid w:val="00B17DF7"/>
    <w:rsid w:val="00B2425F"/>
    <w:rsid w:val="00B36FE0"/>
    <w:rsid w:val="00B505E6"/>
    <w:rsid w:val="00B5718A"/>
    <w:rsid w:val="00B6691A"/>
    <w:rsid w:val="00B66EEF"/>
    <w:rsid w:val="00B938A2"/>
    <w:rsid w:val="00BA3ABD"/>
    <w:rsid w:val="00BB191C"/>
    <w:rsid w:val="00BF597E"/>
    <w:rsid w:val="00C0101A"/>
    <w:rsid w:val="00C3300E"/>
    <w:rsid w:val="00C51A36"/>
    <w:rsid w:val="00C52F67"/>
    <w:rsid w:val="00C55228"/>
    <w:rsid w:val="00C63768"/>
    <w:rsid w:val="00C8369A"/>
    <w:rsid w:val="00CA7FA7"/>
    <w:rsid w:val="00CB6059"/>
    <w:rsid w:val="00CD5500"/>
    <w:rsid w:val="00CE315A"/>
    <w:rsid w:val="00CE6FEE"/>
    <w:rsid w:val="00D06F59"/>
    <w:rsid w:val="00D2392F"/>
    <w:rsid w:val="00D3143D"/>
    <w:rsid w:val="00D56177"/>
    <w:rsid w:val="00D60790"/>
    <w:rsid w:val="00D75148"/>
    <w:rsid w:val="00D8388C"/>
    <w:rsid w:val="00D8636C"/>
    <w:rsid w:val="00D93B29"/>
    <w:rsid w:val="00DA1D96"/>
    <w:rsid w:val="00DC0E98"/>
    <w:rsid w:val="00DC1BCC"/>
    <w:rsid w:val="00DE3C64"/>
    <w:rsid w:val="00DF0BBB"/>
    <w:rsid w:val="00E01A7B"/>
    <w:rsid w:val="00E06B65"/>
    <w:rsid w:val="00E13EC4"/>
    <w:rsid w:val="00E14A4F"/>
    <w:rsid w:val="00E246FA"/>
    <w:rsid w:val="00E4480A"/>
    <w:rsid w:val="00E5169E"/>
    <w:rsid w:val="00E6224C"/>
    <w:rsid w:val="00EA2698"/>
    <w:rsid w:val="00EB0164"/>
    <w:rsid w:val="00EB7075"/>
    <w:rsid w:val="00ED0F62"/>
    <w:rsid w:val="00F21EF6"/>
    <w:rsid w:val="00F372EF"/>
    <w:rsid w:val="00F4680C"/>
    <w:rsid w:val="00F532A7"/>
    <w:rsid w:val="00F60867"/>
    <w:rsid w:val="00F933DA"/>
    <w:rsid w:val="00F9771E"/>
    <w:rsid w:val="00FA7242"/>
    <w:rsid w:val="00FA72CD"/>
    <w:rsid w:val="00FC2BC0"/>
    <w:rsid w:val="00FF7401"/>
    <w:rsid w:val="01260C71"/>
    <w:rsid w:val="01A321D9"/>
    <w:rsid w:val="01E27364"/>
    <w:rsid w:val="01FE18C8"/>
    <w:rsid w:val="02797701"/>
    <w:rsid w:val="02C75A20"/>
    <w:rsid w:val="032F5195"/>
    <w:rsid w:val="03A0688A"/>
    <w:rsid w:val="03A32F8E"/>
    <w:rsid w:val="03AB4A3B"/>
    <w:rsid w:val="03AC3D8E"/>
    <w:rsid w:val="03CE483E"/>
    <w:rsid w:val="03CF54E8"/>
    <w:rsid w:val="0405614C"/>
    <w:rsid w:val="04883DB3"/>
    <w:rsid w:val="04981EC9"/>
    <w:rsid w:val="050D3D1E"/>
    <w:rsid w:val="056577F0"/>
    <w:rsid w:val="05705C5F"/>
    <w:rsid w:val="057753FF"/>
    <w:rsid w:val="05A05014"/>
    <w:rsid w:val="05B44859"/>
    <w:rsid w:val="05D4332F"/>
    <w:rsid w:val="05F6270F"/>
    <w:rsid w:val="0605101B"/>
    <w:rsid w:val="061B4460"/>
    <w:rsid w:val="063554F0"/>
    <w:rsid w:val="06444A1B"/>
    <w:rsid w:val="067B702D"/>
    <w:rsid w:val="06994A8D"/>
    <w:rsid w:val="06AA7E97"/>
    <w:rsid w:val="06ED612A"/>
    <w:rsid w:val="07FD44A3"/>
    <w:rsid w:val="081E2104"/>
    <w:rsid w:val="086B3934"/>
    <w:rsid w:val="08761C7A"/>
    <w:rsid w:val="08767210"/>
    <w:rsid w:val="08851DD7"/>
    <w:rsid w:val="08C22483"/>
    <w:rsid w:val="08ED1EE8"/>
    <w:rsid w:val="09005957"/>
    <w:rsid w:val="09120187"/>
    <w:rsid w:val="094663BE"/>
    <w:rsid w:val="096333C5"/>
    <w:rsid w:val="09933EF9"/>
    <w:rsid w:val="09AA0CA5"/>
    <w:rsid w:val="09FA6045"/>
    <w:rsid w:val="0A0F142E"/>
    <w:rsid w:val="0A1C56C1"/>
    <w:rsid w:val="0A8709B9"/>
    <w:rsid w:val="0A904067"/>
    <w:rsid w:val="0AAB13CF"/>
    <w:rsid w:val="0ACA6ED2"/>
    <w:rsid w:val="0AEF4D8D"/>
    <w:rsid w:val="0BE64DFF"/>
    <w:rsid w:val="0C5423F7"/>
    <w:rsid w:val="0C8009B8"/>
    <w:rsid w:val="0CC102DA"/>
    <w:rsid w:val="0D181113"/>
    <w:rsid w:val="0D1E4D9B"/>
    <w:rsid w:val="0D270A06"/>
    <w:rsid w:val="0D4D1326"/>
    <w:rsid w:val="0D6A2C36"/>
    <w:rsid w:val="0DB35CC0"/>
    <w:rsid w:val="0E385B07"/>
    <w:rsid w:val="0E49595F"/>
    <w:rsid w:val="0EB8524B"/>
    <w:rsid w:val="0F86648B"/>
    <w:rsid w:val="0F9C35C1"/>
    <w:rsid w:val="0FCF22B7"/>
    <w:rsid w:val="0FFA42BF"/>
    <w:rsid w:val="10062D9E"/>
    <w:rsid w:val="100B6D7F"/>
    <w:rsid w:val="100D075A"/>
    <w:rsid w:val="106A3497"/>
    <w:rsid w:val="108219C2"/>
    <w:rsid w:val="10991918"/>
    <w:rsid w:val="10A120FB"/>
    <w:rsid w:val="10AB5B5F"/>
    <w:rsid w:val="10C112A0"/>
    <w:rsid w:val="10C11C69"/>
    <w:rsid w:val="10DD2E35"/>
    <w:rsid w:val="11536201"/>
    <w:rsid w:val="115D3DB9"/>
    <w:rsid w:val="119E3FF4"/>
    <w:rsid w:val="11BD2BE2"/>
    <w:rsid w:val="11BE2038"/>
    <w:rsid w:val="11DC0AC4"/>
    <w:rsid w:val="11E2439D"/>
    <w:rsid w:val="124C3B13"/>
    <w:rsid w:val="12563B2D"/>
    <w:rsid w:val="12A2571D"/>
    <w:rsid w:val="12A42EA7"/>
    <w:rsid w:val="12A506D3"/>
    <w:rsid w:val="13296CDD"/>
    <w:rsid w:val="134E7573"/>
    <w:rsid w:val="13890C2B"/>
    <w:rsid w:val="13A420AC"/>
    <w:rsid w:val="13C11723"/>
    <w:rsid w:val="13C31FF4"/>
    <w:rsid w:val="13EB79B2"/>
    <w:rsid w:val="140E0601"/>
    <w:rsid w:val="145B46D3"/>
    <w:rsid w:val="14BA1243"/>
    <w:rsid w:val="14C400FD"/>
    <w:rsid w:val="14EF5EB2"/>
    <w:rsid w:val="14F1297E"/>
    <w:rsid w:val="14F26225"/>
    <w:rsid w:val="15023387"/>
    <w:rsid w:val="15051B66"/>
    <w:rsid w:val="151414F9"/>
    <w:rsid w:val="154C7AB0"/>
    <w:rsid w:val="155F4281"/>
    <w:rsid w:val="158035C7"/>
    <w:rsid w:val="15BC540D"/>
    <w:rsid w:val="16210B83"/>
    <w:rsid w:val="16583F2B"/>
    <w:rsid w:val="16912340"/>
    <w:rsid w:val="169D3E09"/>
    <w:rsid w:val="16AB3CAD"/>
    <w:rsid w:val="16E341B9"/>
    <w:rsid w:val="16F10A78"/>
    <w:rsid w:val="1712627E"/>
    <w:rsid w:val="17226BDD"/>
    <w:rsid w:val="17446813"/>
    <w:rsid w:val="177551EA"/>
    <w:rsid w:val="179B1D36"/>
    <w:rsid w:val="17C079EC"/>
    <w:rsid w:val="17F76BA3"/>
    <w:rsid w:val="182A66F0"/>
    <w:rsid w:val="182F656A"/>
    <w:rsid w:val="186A6524"/>
    <w:rsid w:val="186F767B"/>
    <w:rsid w:val="187F0353"/>
    <w:rsid w:val="188852B3"/>
    <w:rsid w:val="18DD0D85"/>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327EE5"/>
    <w:rsid w:val="1B462375"/>
    <w:rsid w:val="1B5E3B97"/>
    <w:rsid w:val="1C392A3A"/>
    <w:rsid w:val="1C4C1E84"/>
    <w:rsid w:val="1C880B67"/>
    <w:rsid w:val="1C923014"/>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A5651D"/>
    <w:rsid w:val="21D24208"/>
    <w:rsid w:val="22044DFC"/>
    <w:rsid w:val="2241348F"/>
    <w:rsid w:val="226B1105"/>
    <w:rsid w:val="226B2F60"/>
    <w:rsid w:val="22813299"/>
    <w:rsid w:val="23194B67"/>
    <w:rsid w:val="232E1BCD"/>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247B4B"/>
    <w:rsid w:val="28341F0D"/>
    <w:rsid w:val="28481DD2"/>
    <w:rsid w:val="2892323E"/>
    <w:rsid w:val="289361DE"/>
    <w:rsid w:val="28E623FA"/>
    <w:rsid w:val="291C5E47"/>
    <w:rsid w:val="296D2D47"/>
    <w:rsid w:val="29CB46C2"/>
    <w:rsid w:val="29E253FB"/>
    <w:rsid w:val="29F77BA5"/>
    <w:rsid w:val="2A3A6E77"/>
    <w:rsid w:val="2A85024C"/>
    <w:rsid w:val="2B0D2F04"/>
    <w:rsid w:val="2B1D2572"/>
    <w:rsid w:val="2B206A2D"/>
    <w:rsid w:val="2B4C1179"/>
    <w:rsid w:val="2BD60481"/>
    <w:rsid w:val="2BEA3FA7"/>
    <w:rsid w:val="2C0D0D35"/>
    <w:rsid w:val="2C2E44D4"/>
    <w:rsid w:val="2C6F7203"/>
    <w:rsid w:val="2C7B6C71"/>
    <w:rsid w:val="2D357F0D"/>
    <w:rsid w:val="2D4E604F"/>
    <w:rsid w:val="2D5C2AB0"/>
    <w:rsid w:val="2D7A20E6"/>
    <w:rsid w:val="2DC57805"/>
    <w:rsid w:val="2DDA0493"/>
    <w:rsid w:val="2DDF08DF"/>
    <w:rsid w:val="2DFF79D8"/>
    <w:rsid w:val="2E32284C"/>
    <w:rsid w:val="2E367C56"/>
    <w:rsid w:val="2E440885"/>
    <w:rsid w:val="2EEE512C"/>
    <w:rsid w:val="2F462957"/>
    <w:rsid w:val="2F511B05"/>
    <w:rsid w:val="2F7C571D"/>
    <w:rsid w:val="2FA86B66"/>
    <w:rsid w:val="2FE823A5"/>
    <w:rsid w:val="2FEA1C57"/>
    <w:rsid w:val="300172B8"/>
    <w:rsid w:val="30945277"/>
    <w:rsid w:val="30C71DD4"/>
    <w:rsid w:val="30DC7CB1"/>
    <w:rsid w:val="30ED30CC"/>
    <w:rsid w:val="31064141"/>
    <w:rsid w:val="310D6AA3"/>
    <w:rsid w:val="31482B78"/>
    <w:rsid w:val="31B477DB"/>
    <w:rsid w:val="31B67BE2"/>
    <w:rsid w:val="31CA71DD"/>
    <w:rsid w:val="324E5138"/>
    <w:rsid w:val="331E21CE"/>
    <w:rsid w:val="33562A0D"/>
    <w:rsid w:val="33715F28"/>
    <w:rsid w:val="33F07155"/>
    <w:rsid w:val="340C6245"/>
    <w:rsid w:val="343C4522"/>
    <w:rsid w:val="347A0336"/>
    <w:rsid w:val="34F92D63"/>
    <w:rsid w:val="35527F1F"/>
    <w:rsid w:val="357914C0"/>
    <w:rsid w:val="35CA668A"/>
    <w:rsid w:val="35D721CD"/>
    <w:rsid w:val="35DF4228"/>
    <w:rsid w:val="36174333"/>
    <w:rsid w:val="364A3F09"/>
    <w:rsid w:val="364C3817"/>
    <w:rsid w:val="367A501B"/>
    <w:rsid w:val="368249AA"/>
    <w:rsid w:val="36EA501F"/>
    <w:rsid w:val="372D3763"/>
    <w:rsid w:val="37A3423F"/>
    <w:rsid w:val="37A66325"/>
    <w:rsid w:val="37AF435B"/>
    <w:rsid w:val="37B82B0E"/>
    <w:rsid w:val="37D8509F"/>
    <w:rsid w:val="380178E9"/>
    <w:rsid w:val="38363F4B"/>
    <w:rsid w:val="385F5D57"/>
    <w:rsid w:val="386866FF"/>
    <w:rsid w:val="38803663"/>
    <w:rsid w:val="389A539F"/>
    <w:rsid w:val="38B37216"/>
    <w:rsid w:val="38BD5C7F"/>
    <w:rsid w:val="38C5580C"/>
    <w:rsid w:val="38EC325F"/>
    <w:rsid w:val="39090322"/>
    <w:rsid w:val="39286E54"/>
    <w:rsid w:val="399117DD"/>
    <w:rsid w:val="39972637"/>
    <w:rsid w:val="39D7104B"/>
    <w:rsid w:val="3A3E0D9F"/>
    <w:rsid w:val="3A5573DE"/>
    <w:rsid w:val="3AAB1306"/>
    <w:rsid w:val="3ABD0173"/>
    <w:rsid w:val="3ACE23E2"/>
    <w:rsid w:val="3B227AA7"/>
    <w:rsid w:val="3B4241C0"/>
    <w:rsid w:val="3B5F0280"/>
    <w:rsid w:val="3B8C1823"/>
    <w:rsid w:val="3BCD5A20"/>
    <w:rsid w:val="3BEE1D6F"/>
    <w:rsid w:val="3BF1473C"/>
    <w:rsid w:val="3CA475E5"/>
    <w:rsid w:val="3CA717F2"/>
    <w:rsid w:val="3CC56579"/>
    <w:rsid w:val="3CEB2CC9"/>
    <w:rsid w:val="3D053E44"/>
    <w:rsid w:val="3D721433"/>
    <w:rsid w:val="3D7C5D45"/>
    <w:rsid w:val="3DA34201"/>
    <w:rsid w:val="3DAB460B"/>
    <w:rsid w:val="3DDA7DB2"/>
    <w:rsid w:val="3DF92E01"/>
    <w:rsid w:val="3E342793"/>
    <w:rsid w:val="3E3C5235"/>
    <w:rsid w:val="3EA34B57"/>
    <w:rsid w:val="3ED604A2"/>
    <w:rsid w:val="3EEF1E6E"/>
    <w:rsid w:val="3F654598"/>
    <w:rsid w:val="3FEB6494"/>
    <w:rsid w:val="40571F31"/>
    <w:rsid w:val="40760623"/>
    <w:rsid w:val="408B7234"/>
    <w:rsid w:val="40E27AF7"/>
    <w:rsid w:val="40F80D82"/>
    <w:rsid w:val="41342A6B"/>
    <w:rsid w:val="414C7183"/>
    <w:rsid w:val="418D501C"/>
    <w:rsid w:val="41BB58E6"/>
    <w:rsid w:val="41C832C7"/>
    <w:rsid w:val="41E9167B"/>
    <w:rsid w:val="42416B50"/>
    <w:rsid w:val="4262379E"/>
    <w:rsid w:val="427A1188"/>
    <w:rsid w:val="4289200B"/>
    <w:rsid w:val="42C77562"/>
    <w:rsid w:val="432A5E11"/>
    <w:rsid w:val="433B1167"/>
    <w:rsid w:val="433E2DC7"/>
    <w:rsid w:val="435F500F"/>
    <w:rsid w:val="43C730CD"/>
    <w:rsid w:val="441D0975"/>
    <w:rsid w:val="44A567F5"/>
    <w:rsid w:val="453B1EBC"/>
    <w:rsid w:val="45635AEC"/>
    <w:rsid w:val="45BA54FA"/>
    <w:rsid w:val="45EC74A5"/>
    <w:rsid w:val="45FA6B69"/>
    <w:rsid w:val="460414DD"/>
    <w:rsid w:val="46332B60"/>
    <w:rsid w:val="4654705C"/>
    <w:rsid w:val="468C6A25"/>
    <w:rsid w:val="468D2C1F"/>
    <w:rsid w:val="468D3CA5"/>
    <w:rsid w:val="4694248B"/>
    <w:rsid w:val="46A32063"/>
    <w:rsid w:val="46EA7997"/>
    <w:rsid w:val="470243E7"/>
    <w:rsid w:val="471F1498"/>
    <w:rsid w:val="47271944"/>
    <w:rsid w:val="475C4BFE"/>
    <w:rsid w:val="47BB044C"/>
    <w:rsid w:val="47F95078"/>
    <w:rsid w:val="48262DE5"/>
    <w:rsid w:val="489C0A39"/>
    <w:rsid w:val="490747F7"/>
    <w:rsid w:val="49105C6D"/>
    <w:rsid w:val="496D185A"/>
    <w:rsid w:val="49C0281D"/>
    <w:rsid w:val="49E449BF"/>
    <w:rsid w:val="49EC77B8"/>
    <w:rsid w:val="49ED5B1C"/>
    <w:rsid w:val="4AD45EF1"/>
    <w:rsid w:val="4AE04A18"/>
    <w:rsid w:val="4B12455E"/>
    <w:rsid w:val="4B337454"/>
    <w:rsid w:val="4B407CC6"/>
    <w:rsid w:val="4B42232B"/>
    <w:rsid w:val="4B825A76"/>
    <w:rsid w:val="4B8B3702"/>
    <w:rsid w:val="4B9B0D7E"/>
    <w:rsid w:val="4B9C6F9C"/>
    <w:rsid w:val="4BC83B65"/>
    <w:rsid w:val="4BC87AB0"/>
    <w:rsid w:val="4C1454A4"/>
    <w:rsid w:val="4CA74E41"/>
    <w:rsid w:val="4CA91B51"/>
    <w:rsid w:val="4CB62537"/>
    <w:rsid w:val="4CD2365B"/>
    <w:rsid w:val="4CFB4E3C"/>
    <w:rsid w:val="4D352804"/>
    <w:rsid w:val="4D791805"/>
    <w:rsid w:val="4D8F2F88"/>
    <w:rsid w:val="4DB86BCB"/>
    <w:rsid w:val="4DD85058"/>
    <w:rsid w:val="4E0166A9"/>
    <w:rsid w:val="4E1551DB"/>
    <w:rsid w:val="4E7774D0"/>
    <w:rsid w:val="4F594843"/>
    <w:rsid w:val="4FAF3052"/>
    <w:rsid w:val="503C3BCC"/>
    <w:rsid w:val="505C4971"/>
    <w:rsid w:val="50C41CF1"/>
    <w:rsid w:val="51217DA6"/>
    <w:rsid w:val="51294703"/>
    <w:rsid w:val="51425A27"/>
    <w:rsid w:val="5158757E"/>
    <w:rsid w:val="521A5D1E"/>
    <w:rsid w:val="523624DE"/>
    <w:rsid w:val="52A23F56"/>
    <w:rsid w:val="52BA5471"/>
    <w:rsid w:val="52D871F4"/>
    <w:rsid w:val="52F263D6"/>
    <w:rsid w:val="52F569F3"/>
    <w:rsid w:val="52F737EA"/>
    <w:rsid w:val="53024EB7"/>
    <w:rsid w:val="53261795"/>
    <w:rsid w:val="5373268D"/>
    <w:rsid w:val="53953BE7"/>
    <w:rsid w:val="53F51637"/>
    <w:rsid w:val="54124FEF"/>
    <w:rsid w:val="541C4B67"/>
    <w:rsid w:val="552A2893"/>
    <w:rsid w:val="555A4FF2"/>
    <w:rsid w:val="556B045B"/>
    <w:rsid w:val="557D4E77"/>
    <w:rsid w:val="55C375DD"/>
    <w:rsid w:val="56156439"/>
    <w:rsid w:val="5656544C"/>
    <w:rsid w:val="56643532"/>
    <w:rsid w:val="568B5A7B"/>
    <w:rsid w:val="56EF2BB9"/>
    <w:rsid w:val="570A6E63"/>
    <w:rsid w:val="573B0118"/>
    <w:rsid w:val="573D2268"/>
    <w:rsid w:val="57411925"/>
    <w:rsid w:val="57441E32"/>
    <w:rsid w:val="57535542"/>
    <w:rsid w:val="575B3098"/>
    <w:rsid w:val="577F7188"/>
    <w:rsid w:val="57F55B90"/>
    <w:rsid w:val="580F191D"/>
    <w:rsid w:val="58276F84"/>
    <w:rsid w:val="58584813"/>
    <w:rsid w:val="58B728A2"/>
    <w:rsid w:val="58B868EB"/>
    <w:rsid w:val="590D059A"/>
    <w:rsid w:val="592802C2"/>
    <w:rsid w:val="5939327C"/>
    <w:rsid w:val="5978735A"/>
    <w:rsid w:val="59AF126F"/>
    <w:rsid w:val="59E42114"/>
    <w:rsid w:val="59E710C8"/>
    <w:rsid w:val="5A0B0AB5"/>
    <w:rsid w:val="5A1C59A1"/>
    <w:rsid w:val="5A407674"/>
    <w:rsid w:val="5A432974"/>
    <w:rsid w:val="5A6A20C5"/>
    <w:rsid w:val="5AD64AF2"/>
    <w:rsid w:val="5AEE39DB"/>
    <w:rsid w:val="5B046AEC"/>
    <w:rsid w:val="5B544EB3"/>
    <w:rsid w:val="5B6A33DD"/>
    <w:rsid w:val="5BD1484D"/>
    <w:rsid w:val="5BF04FFA"/>
    <w:rsid w:val="5C4D2649"/>
    <w:rsid w:val="5C8D6CFF"/>
    <w:rsid w:val="5C966EB6"/>
    <w:rsid w:val="5C9E007C"/>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EF56050"/>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8F4421"/>
    <w:rsid w:val="62CA4AF4"/>
    <w:rsid w:val="62E4371E"/>
    <w:rsid w:val="6306254B"/>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9E6788"/>
    <w:rsid w:val="66B368AE"/>
    <w:rsid w:val="66B532F3"/>
    <w:rsid w:val="66C2760F"/>
    <w:rsid w:val="675A3B6C"/>
    <w:rsid w:val="677C2796"/>
    <w:rsid w:val="67AF7DB6"/>
    <w:rsid w:val="680564C6"/>
    <w:rsid w:val="681B3F7A"/>
    <w:rsid w:val="68233428"/>
    <w:rsid w:val="684B51CE"/>
    <w:rsid w:val="68575061"/>
    <w:rsid w:val="68B54AF7"/>
    <w:rsid w:val="68CA009F"/>
    <w:rsid w:val="695B5920"/>
    <w:rsid w:val="69B35A0D"/>
    <w:rsid w:val="69CC607C"/>
    <w:rsid w:val="69EA1163"/>
    <w:rsid w:val="69F96768"/>
    <w:rsid w:val="6A287F98"/>
    <w:rsid w:val="6AA53CA3"/>
    <w:rsid w:val="6AB40496"/>
    <w:rsid w:val="6ABD1D5E"/>
    <w:rsid w:val="6AE81CC5"/>
    <w:rsid w:val="6AF33939"/>
    <w:rsid w:val="6B795D62"/>
    <w:rsid w:val="6BC747F5"/>
    <w:rsid w:val="6BD35CE4"/>
    <w:rsid w:val="6C3014BE"/>
    <w:rsid w:val="6C5D414F"/>
    <w:rsid w:val="6C635932"/>
    <w:rsid w:val="6CA324B4"/>
    <w:rsid w:val="6CC44B47"/>
    <w:rsid w:val="6CDE17FD"/>
    <w:rsid w:val="6D1D2C91"/>
    <w:rsid w:val="6D232D3C"/>
    <w:rsid w:val="6D2F5D1E"/>
    <w:rsid w:val="6D792112"/>
    <w:rsid w:val="6E641038"/>
    <w:rsid w:val="6EBD0EA6"/>
    <w:rsid w:val="6F2F5C01"/>
    <w:rsid w:val="6F435405"/>
    <w:rsid w:val="6F4810D8"/>
    <w:rsid w:val="6F6D2BAA"/>
    <w:rsid w:val="6F9119BB"/>
    <w:rsid w:val="6F9A4A47"/>
    <w:rsid w:val="701710D0"/>
    <w:rsid w:val="70795456"/>
    <w:rsid w:val="709946EC"/>
    <w:rsid w:val="70B256FB"/>
    <w:rsid w:val="72226A31"/>
    <w:rsid w:val="72702455"/>
    <w:rsid w:val="728F2E47"/>
    <w:rsid w:val="72973011"/>
    <w:rsid w:val="72E42D1B"/>
    <w:rsid w:val="734F0911"/>
    <w:rsid w:val="736054C4"/>
    <w:rsid w:val="736C572D"/>
    <w:rsid w:val="73A422EB"/>
    <w:rsid w:val="74103E55"/>
    <w:rsid w:val="745B622A"/>
    <w:rsid w:val="74B64014"/>
    <w:rsid w:val="753E2D2E"/>
    <w:rsid w:val="75950E53"/>
    <w:rsid w:val="75B91B9C"/>
    <w:rsid w:val="75DB13A5"/>
    <w:rsid w:val="75E00376"/>
    <w:rsid w:val="75E552E3"/>
    <w:rsid w:val="762E2DED"/>
    <w:rsid w:val="7648538B"/>
    <w:rsid w:val="76577132"/>
    <w:rsid w:val="76BD747C"/>
    <w:rsid w:val="76CD52EB"/>
    <w:rsid w:val="76FE004A"/>
    <w:rsid w:val="771B17CC"/>
    <w:rsid w:val="77462C4C"/>
    <w:rsid w:val="77A268F6"/>
    <w:rsid w:val="77CC3658"/>
    <w:rsid w:val="780F54C3"/>
    <w:rsid w:val="782C6CF7"/>
    <w:rsid w:val="78680ECD"/>
    <w:rsid w:val="7880670B"/>
    <w:rsid w:val="78A25951"/>
    <w:rsid w:val="78A35FE5"/>
    <w:rsid w:val="78C4002B"/>
    <w:rsid w:val="78E96823"/>
    <w:rsid w:val="78EE7F5B"/>
    <w:rsid w:val="78F11CE1"/>
    <w:rsid w:val="78F66955"/>
    <w:rsid w:val="78F8423B"/>
    <w:rsid w:val="79053EDA"/>
    <w:rsid w:val="79097264"/>
    <w:rsid w:val="791D3993"/>
    <w:rsid w:val="79202162"/>
    <w:rsid w:val="7924138B"/>
    <w:rsid w:val="79826449"/>
    <w:rsid w:val="79B34208"/>
    <w:rsid w:val="79D339B9"/>
    <w:rsid w:val="7A200C95"/>
    <w:rsid w:val="7A594332"/>
    <w:rsid w:val="7A8564DB"/>
    <w:rsid w:val="7AC22B97"/>
    <w:rsid w:val="7B190280"/>
    <w:rsid w:val="7B1F77A4"/>
    <w:rsid w:val="7B292799"/>
    <w:rsid w:val="7C090682"/>
    <w:rsid w:val="7C183634"/>
    <w:rsid w:val="7C351D89"/>
    <w:rsid w:val="7C6A6CA8"/>
    <w:rsid w:val="7C9307A3"/>
    <w:rsid w:val="7CE81F24"/>
    <w:rsid w:val="7CF04E00"/>
    <w:rsid w:val="7D41026F"/>
    <w:rsid w:val="7D59343F"/>
    <w:rsid w:val="7E0A78B3"/>
    <w:rsid w:val="7E2912F3"/>
    <w:rsid w:val="7F850D3B"/>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1169</Words>
  <Characters>6665</Characters>
  <Lines>55</Lines>
  <Paragraphs>15</Paragraphs>
  <TotalTime>5</TotalTime>
  <ScaleCrop>false</ScaleCrop>
  <LinksUpToDate>false</LinksUpToDate>
  <CharactersWithSpaces>7819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2020-05-21T17:17:00Z</dcterms:created>
  <dc:creator>微软用户</dc:creator>
  <cp:lastModifiedBy>张磊</cp:lastModifiedBy>
  <dcterms:modified xsi:type="dcterms:W3CDTF">2020-07-11T03:07:28Z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