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部门领导：马伟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张磊（现场），韦春喜（远程）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6.2/7.1.3/7.1.4/8.1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/8.3</w:t>
            </w:r>
            <w:bookmarkStart w:id="1" w:name="_GoBack"/>
            <w:bookmarkEnd w:id="1"/>
            <w:r>
              <w:rPr>
                <w:rFonts w:hint="default"/>
                <w:sz w:val="24"/>
                <w:szCs w:val="24"/>
                <w:lang w:val="en-US" w:eastAsia="zh-CN"/>
              </w:rPr>
              <w:t>/8.5.1/8.5.2/8.5.6/8.7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4688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468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产品出厂合格率100%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top"/>
                </w:tcPr>
                <w:p>
                  <w:pPr>
                    <w:spacing w:line="4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产品出厂合格品数/产品出厂总数×100%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top"/>
                </w:tcPr>
                <w:p>
                  <w:pPr>
                    <w:spacing w:line="420" w:lineRule="exact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设备完好率100%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完好设备/设备总数×100%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生产任务完成率98%</w:t>
                  </w: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生产任务数/生产任务总数×100%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420" w:lineRule="exact"/>
                    <w:rPr>
                      <w:rFonts w:hint="eastAsia" w:ascii="宋体" w:hAnsi="宋体"/>
                    </w:rPr>
                  </w:pP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468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《设备管理制度》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tbl>
            <w:tblPr>
              <w:tblStyle w:val="6"/>
              <w:tblW w:w="9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827"/>
              <w:gridCol w:w="1088"/>
              <w:gridCol w:w="687"/>
              <w:gridCol w:w="4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《2020年设备维护保养计划》</w:t>
                  </w:r>
                </w:p>
              </w:tc>
              <w:tc>
                <w:tcPr>
                  <w:tcW w:w="8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8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68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47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普通车床</w:t>
                  </w:r>
                </w:p>
              </w:tc>
              <w:tc>
                <w:tcPr>
                  <w:tcW w:w="1088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t>2020年1月10日</w:t>
                  </w:r>
                </w:p>
              </w:tc>
              <w:tc>
                <w:tcPr>
                  <w:tcW w:w="68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47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·拆洗滤油器 ·检查主轴定位螺丝，调整适当清洗换油。  ·检查并更换必要的磨损件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台式钻床</w:t>
                  </w:r>
                </w:p>
              </w:tc>
              <w:tc>
                <w:tcPr>
                  <w:tcW w:w="108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t>25</w:t>
                  </w:r>
                  <w:r>
                    <w:rPr>
                      <w:rFonts w:hint="eastAsia"/>
                    </w:rPr>
                    <w:t xml:space="preserve">日 </w:t>
                  </w:r>
                </w:p>
              </w:tc>
              <w:tc>
                <w:tcPr>
                  <w:tcW w:w="68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47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检查手柄操作灵活定位可靠。 主轴外部及锥孔清洁无刻痕。 主轴运转正常、无杂音。 主轴上下移动平稳不偏重。导轨无研伤，清洁有油。 齿轮传动光杆（丝杠）清洁有油，不松动。 主轴箱（横臂）移动平稳无抖动。 卡紧、放松机构，灵活好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827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>交流弧焊机</w:t>
                  </w:r>
                </w:p>
              </w:tc>
              <w:tc>
                <w:tcPr>
                  <w:tcW w:w="1088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t>3</w:t>
                  </w:r>
                  <w:r>
                    <w:rPr>
                      <w:rFonts w:hint="eastAsia"/>
                    </w:rPr>
                    <w:t>月8日</w:t>
                  </w:r>
                </w:p>
              </w:tc>
              <w:tc>
                <w:tcPr>
                  <w:tcW w:w="68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479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注意电焊机的发热情况，注意电流不得超过其额定值。 清理各部尘垢，检查各紧固螺丝，防止松动。 检查控制线路有无脱焊、断头，螺丝松动等情况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2590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  <w:color w:val="auto"/>
                    </w:rPr>
                    <w:t>内容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电焊机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default"/>
                      <w:color w:val="auto"/>
                      <w:lang w:val="zh-CN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.7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电流较小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lang w:val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设备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电钻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zh-CN"/>
                    </w:rPr>
                    <w:t>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lang w:val="zh-CN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更换电机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color w:val="auto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</w:rPr>
                    <w:t xml:space="preserve">合格  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88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2"/>
              <w:gridCol w:w="2362"/>
              <w:gridCol w:w="1425"/>
              <w:gridCol w:w="1463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9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设备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检定报告</w:t>
                  </w:r>
                  <w:r>
                    <w:rPr>
                      <w:rFonts w:hint="eastAsia"/>
                      <w:color w:val="000000" w:themeColor="text1"/>
                    </w:rPr>
                    <w:t>编号</w:t>
                  </w:r>
                </w:p>
              </w:tc>
              <w:tc>
                <w:tcPr>
                  <w:tcW w:w="142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有效期期限</w:t>
                  </w: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结论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992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00000" w:themeColor="text1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362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4"/>
              <w:gridCol w:w="1273"/>
              <w:gridCol w:w="2000"/>
              <w:gridCol w:w="1200"/>
              <w:gridCol w:w="1200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抽查设备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0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抽查记录的月份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现场查看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记录情况</w:t>
                  </w: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数控机床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1835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lang w:val="en-US" w:eastAsia="zh-CN"/>
                    </w:rPr>
                    <w:t>液压闸式剪板机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1112004 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4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台式钻床</w:t>
                  </w:r>
                </w:p>
              </w:tc>
              <w:tc>
                <w:tcPr>
                  <w:tcW w:w="12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</w:rPr>
                    <w:t>20009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设备良好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  <w:r>
                    <w:rPr>
                      <w:rFonts w:hint="eastAsia" w:ascii="Calibri" w:hAnsi="Calibri"/>
                      <w:color w:val="auto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color w:val="auto"/>
                    </w:rPr>
                    <w:t>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提供舒适的办公场所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val="en-US" w:eastAsia="zh-CN"/>
                    </w:rPr>
                    <w:t>产部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bookmarkStart w:id="0" w:name="审核范围"/>
                  <w:r>
                    <w:rPr>
                      <w:sz w:val="20"/>
                    </w:rPr>
                    <w:t>农业机械（喷雾机、精播机、玉米机 、大豆机 、撒肥机）的制造（3C证书许可范围内）</w:t>
                  </w:r>
                  <w:bookmarkEnd w:id="0"/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依照客户技术协议进行生产，参照操作规格书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无外包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</w:t>
            </w:r>
            <w:r>
              <w:rPr>
                <w:rFonts w:hint="eastAsia" w:ascii="宋体" w:hAnsi="宋体"/>
              </w:rPr>
              <w:t>下料----钻眼---除锈---焊接---打磨---喷漆---组装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焊接，喷漆，对特殊过程编辑了《特殊(关键)过程确认单》，操作过程制定《作业指导书》、《操作规程》，提供《生产过程控制记录》对焊接工序进行过程监控，生产结束后对成品进行成品检测，检测合格方能入库销售。详见Q8.5.1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8.3.2设计和开发策划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63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项目名称：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3WPZ-700型悬挂式喷杆喷雾机  的工艺研究与开发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企业立项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项目的复杂程度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按顾客合同要求进行设计，用于农作物药水的喷洒等。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立项的日期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2019年11月15日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预计完成的日期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2020年4月20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设计开发的阶段说明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2019年11月 完成立项，编制任务书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2019年12月 工艺参数制定，设计图纸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2020年2月  样品试制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2020年3月 小试生产，确定参数与工艺流程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2020年4月 生产，形成成熟的路线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设计和开发评审</w:t>
                  </w:r>
                  <w:r>
                    <w:rPr>
                      <w:rFonts w:hint="eastAsia"/>
                      <w:lang w:val="en-US" w:eastAsia="zh-CN"/>
                    </w:rPr>
                    <w:t>的时机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查《设计和开发评审报告 》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2019年11月  立项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2020年2月  试制样品阶段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2020年3月  试生产阶段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设计和开发验证活动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设计和开发输出内容的验证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样品验证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技术参数工艺是否合理验证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研发产品最终验证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设计和开发确认活动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生产流程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操作规程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产品检验方法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涉及的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职责和权限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编制科技发展规划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技术的引进、吸收、创新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4、制定标准，鉴定、验收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所需的内部资源</w:t>
                  </w:r>
                  <w:r>
                    <w:rPr>
                      <w:rFonts w:hint="eastAsia"/>
                      <w:lang w:val="en-US" w:eastAsia="zh-CN"/>
                    </w:rPr>
                    <w:t>充分性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人员、设备、仪表、物料、检测、分析等能力满足研发要求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所需的外部资源</w:t>
                  </w:r>
                  <w:r>
                    <w:rPr>
                      <w:rFonts w:hint="eastAsia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物料、设备、仪表需要外购，能源需要外部提供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人员之间接口控制需求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中试工艺调试需要到生产车间，产品检测需要到品质部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顾客和使用者参与设计和开发过程的需求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对后续产品和服务提供的要求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控制最终产品的质量符合标准要求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节能高效，降低成本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小试工艺过程及流程图、操作规程、质量标准、分析报告单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8.3.3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设计输入的信息：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5062"/>
              <w:gridCol w:w="2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关键特性简述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1、尺寸要求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外型尺寸(mm)：5300×1650×1800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喷杆长度(适用于喷杆式)（mm）：12000  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水平射程或喷幅（适用于风送式）（m）：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设计和开发验证报告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现有生产工艺、操作规程、产品质量标准、分析报告单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质量标准、分析报告单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J GB10395.1－2009《农林拖拉机和机械安全技术要求第1部分总则》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GB10395.6－2006《农机拖拉机和机械安全技术要求第6部分植物保护机械》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SAM-C14-01：2016《〈强制性产品认证实施细则  植物保护机械》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GB/T24677.1—2009《喷杆式喷雾机 技术条件》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质量方针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践行工匠精神、尊重产品的品质灵魂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效率低下，喷洒不均匀超过客户要求的标准，会导致产品滞销、拒收，造成损失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客户订货规格单（电话沟通）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设计和开发输入</w:t>
            </w:r>
            <w:r>
              <w:rPr>
                <w:rFonts w:hint="eastAsia"/>
                <w:lang w:val="en-US" w:eastAsia="zh-CN"/>
              </w:rPr>
              <w:t>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满足设计和开发的目的，且应完整、清楚。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解决相互冲突的设计和开发输入。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未已</w:t>
            </w:r>
            <w:r>
              <w:rPr>
                <w:rFonts w:hint="eastAsia"/>
              </w:rPr>
              <w:t>解决相互冲突的设计和开发输入。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评审的方法：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文件审批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会议讨论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评审的阶段：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设计开发输入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评审的人员：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项目负责人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部门负责人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高层管理者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其他授权人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开展测试和鉴定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设计和开发输出 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8.3.5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设计和开发输出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新产品/项目名称：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证据类型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满足输入要求的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关键特性描述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1、3WPZ-700型悬挂式喷杆喷雾机全套图纸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2、植保机械3C认证产品及安全关键件明细表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3、生产控制资料：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4、生产作业指导书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1、3WPZ-700型悬挂式喷杆喷雾机全套图纸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2、植保机械3C认证产品及安全关键件明细表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3、生产控制资料：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4、生产作业指导书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采购标准（</w:t>
                  </w:r>
                  <w:r>
                    <w:rPr>
                      <w:rFonts w:hint="eastAsia"/>
                      <w:lang w:val="en-US" w:eastAsia="zh-CN"/>
                    </w:rPr>
                    <w:t>含</w:t>
                  </w:r>
                  <w:r>
                    <w:rPr>
                      <w:rFonts w:hint="eastAsia"/>
                    </w:rPr>
                    <w:t>厂家、地域）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整机调试和试车作业指导书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例行和确认检验规程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</w:rPr>
                    <w:t>3WPZ-700型悬挂式喷杆喷雾机安装、使用说明书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</w:rPr>
                    <w:t>产品合格证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3、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</w:rPr>
                    <w:t>装箱单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4、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</w:rPr>
                    <w:t>包装说明书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5、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</w:rPr>
                    <w:t>装卸作业指导书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确认的结果（适用时）</w:t>
                  </w: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组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织应在受控条件下进行生产和服务提供。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生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产工艺流程：下料----钻眼---除锈---焊接---打磨---喷漆---组装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关键过程：焊接，喷漆，；特殊过程：焊接，喷漆，对特殊过程编辑了《特殊(关键)过程确认单》，操作过程制定《作业指导书》、《操作规程》，提供《生产过程控制记录》对焊接工序进行过程监控，生产结束后对成品进行成品检测，检测合格方能入库销售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抽查《撒肥机生产过程控制记录》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2020.6.13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60方管 2420mm、700mm\620mm\180mm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15圆孔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抽查《玉米机生产过程控制记录》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2020.3.21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80方管 11400mm、540mm\380mm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抽查《喷雾机生产过程控制记录》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30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50方管 88mm、30mm\12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12圆孔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抽查《大豆机生产过程控制记录》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60方管1380mm、1110mm、428mm\40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50扁铁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250mm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抽查《大豆精播机生产过程控制记录》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715"/>
              <w:gridCol w:w="4287"/>
              <w:gridCol w:w="1261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715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下料</w:t>
                  </w:r>
                </w:p>
              </w:tc>
              <w:tc>
                <w:tcPr>
                  <w:tcW w:w="4287" w:type="dxa"/>
                </w:tcPr>
                <w:p>
                  <w:pP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产品尺寸依据图纸</w:t>
                  </w:r>
                </w:p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80方管2040mm、540mm\40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60扁铁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300mm\80</w:t>
                  </w:r>
                  <w:r>
                    <w:rPr>
                      <w:rFonts w:hint="default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×</w:t>
                  </w:r>
                  <w:r>
                    <w:rPr>
                      <w:rFonts w:hint="eastAsia" w:ascii="Arial" w:hAnsi="Arial" w:cs="Arial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100扁铁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450mm</w:t>
                  </w:r>
                </w:p>
              </w:tc>
              <w:tc>
                <w:tcPr>
                  <w:tcW w:w="12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钻眼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孔径大小依据图纸：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11圆孔、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Ф</w:t>
                  </w:r>
                  <w:r>
                    <w:rPr>
                      <w:rFonts w:hint="eastAsia" w:ascii="宋体" w:hAnsi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28圆孔、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除锈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表面应该没有可见的污物、油脂和附着不牢的氧化皮、油漆涂层、铁锈、和杂质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焊接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面不得有裂纹、焊瘤等缺陷。一、二级焊缝不得有表面气孔、夹渣、弧坑裂纹、电弧擦伤等缺陷。且一级焊缝不得有咬边、未焊满、根部收缩等缺陷。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打磨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表面应干燥、整洁，不应有飞边、毛刺、飞溅、焊疤、氧化皮、污垢等，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已打磨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spacing w:line="260" w:lineRule="exact"/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喷漆</w:t>
                  </w:r>
                </w:p>
              </w:tc>
              <w:tc>
                <w:tcPr>
                  <w:tcW w:w="4287" w:type="dxa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 w:val="20"/>
                    </w:rPr>
                    <w:t>构件表面不应有误涂、漏涂，涂层应均匀、无明显皱皮、流坠、针眼、气泡等，涂层不应脱皮和返锈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7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Cs w:val="22"/>
                      <w:u w:val="single"/>
                      <w:lang w:val="en-US" w:eastAsia="zh-CN"/>
                    </w:rPr>
                    <w:t>组装</w:t>
                  </w:r>
                </w:p>
              </w:tc>
              <w:tc>
                <w:tcPr>
                  <w:tcW w:w="42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螺丝及配件是否按作业指导紧固，无松动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规格依据图纸进行比对，要求一致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外观要求无划痕、毛刺、变形现象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装配需和组件互配，无松动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全行程往复运动，排净液压缸空气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种箱容积符合图纸要求</w:t>
                  </w:r>
                </w:p>
              </w:tc>
              <w:tc>
                <w:tcPr>
                  <w:tcW w:w="1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已检测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2020.5.25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大豆机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喷雾机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2020.4.17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大豆精播机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2020.6.13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撒肥机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2020.3.21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玉米机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宋体" w:hAnsi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尺寸，外观、包装、性能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《特殊(关键)过程确认表》</w:t>
            </w:r>
          </w:p>
          <w:tbl>
            <w:tblPr>
              <w:tblStyle w:val="6"/>
              <w:tblW w:w="8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4"/>
              <w:gridCol w:w="3358"/>
              <w:gridCol w:w="32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2019.12.15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2019.10.16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喷漆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焊工：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张凯、杨东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生产操作人员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烤漆箱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二氧化碳气体保护焊机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焊接作业指导书，设备操作规格书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作业指导书，设备操作规格书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3251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后期进行实验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质量手册Q</w:t>
            </w:r>
            <w:r>
              <w:rPr>
                <w:rFonts w:hint="eastAsia"/>
                <w:color w:val="auto"/>
              </w:rPr>
              <w:t xml:space="preserve"> 8.5.6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val="en-US" w:eastAsia="zh-CN"/>
              </w:rPr>
              <w:t>无变更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》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未发现不合格原料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不合格品评审处理记录表》、《纠  正  措  施  报  告》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2020.4.9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拉杆</w:t>
                  </w: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 xml:space="preserve">孔径尺寸108mm，比标准公差偏大3mm 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加工前期和中期须多次测量，保证测量环境数值准确有效；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2020.6.14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滚子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内孔毛糙导致无法装备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对打磨师傅进行口头培训，不允许有类似情况发生；举一反三，经查未有类似情况发生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》未发现不合格成品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不符合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474D6"/>
    <w:multiLevelType w:val="singleLevel"/>
    <w:tmpl w:val="EAA474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E7CEC0"/>
    <w:multiLevelType w:val="singleLevel"/>
    <w:tmpl w:val="F2E7CE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C4B15F"/>
    <w:multiLevelType w:val="singleLevel"/>
    <w:tmpl w:val="7EC4B1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0D7B9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20E39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24260F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4A12FA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0758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45EA3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2020-07-16T14:30:19Z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