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80"/>
        <w:gridCol w:w="69"/>
        <w:gridCol w:w="1134"/>
        <w:gridCol w:w="1147"/>
        <w:gridCol w:w="412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宿州市信德机械股份有限公司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0337-2020-Q</w:t>
            </w:r>
            <w:bookmarkEnd w:id="1"/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马雪玲</w:t>
            </w:r>
            <w:bookmarkEnd w:id="5"/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15399582203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490" w:type="dxa"/>
            <w:gridSpan w:val="3"/>
            <w:vAlign w:val="center"/>
          </w:tcPr>
          <w:p>
            <w:bookmarkStart w:id="8" w:name="最高管理者"/>
            <w:bookmarkEnd w:id="8"/>
          </w:p>
        </w:tc>
        <w:tc>
          <w:tcPr>
            <w:tcW w:w="276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农业机械（喷雾机、精播机、玉米机 、大豆机 、撒肥机）的制造（3C证书许可范围内）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18.03.00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2020年07月08日 上午至2020年07月08日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2020-N0QMS-1264075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17751950967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45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0377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审核日程安排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2020年0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 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8:00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szCs w:val="21"/>
              </w:rPr>
              <w:t>8:30</w:t>
            </w:r>
          </w:p>
        </w:tc>
        <w:tc>
          <w:tcPr>
            <w:tcW w:w="7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8:30-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auto"/>
              </w:rPr>
              <w:t>原件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和临时</w:t>
            </w:r>
            <w:r>
              <w:rPr>
                <w:rFonts w:hint="eastAsia"/>
                <w:szCs w:val="18"/>
                <w:lang w:eastAsia="zh-CN"/>
              </w:rPr>
              <w:t>远程</w:t>
            </w:r>
            <w:r>
              <w:rPr>
                <w:rFonts w:hint="eastAsia"/>
                <w:szCs w:val="18"/>
              </w:rPr>
              <w:t>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:30-1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7458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建立的控制的水平（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45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72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7458" w:type="dxa"/>
            <w:shd w:val="clear" w:color="auto" w:fill="E5DFEC" w:themeFill="accent4" w:themeFillTint="33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确认审核范围，通报一阶段审核情况，对发现的问题提出整改要求；商定第二阶段的审核时间、资源管理、审核安排等事宜。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4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3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404AE"/>
    <w:rsid w:val="0CA542E9"/>
    <w:rsid w:val="1A99478E"/>
    <w:rsid w:val="258E042D"/>
    <w:rsid w:val="2D3F6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张磊</cp:lastModifiedBy>
  <cp:lastPrinted>2019-03-27T03:10:00Z</cp:lastPrinted>
  <dcterms:modified xsi:type="dcterms:W3CDTF">2020-07-29T16:21:41Z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