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rFonts w:ascii="宋体" w:hAnsi="宋体" w:cs="宋体"/>
          <w:b/>
          <w:bCs/>
          <w:sz w:val="28"/>
          <w:szCs w:val="28"/>
          <w14:shadow w14:blurRad="50800" w14:dist="38100" w14:dir="2700000" w14:sx="100000" w14:sy="100000" w14:kx="0" w14:ky="0" w14:algn="tl">
            <w14:srgbClr w14:val="000000">
              <w14:alpha w14:val="60000"/>
            </w14:srgbClr>
          </w14:shadow>
        </w:rPr>
      </w:pPr>
      <w:r>
        <w:rPr>
          <w:rFonts w:hint="eastAsia" w:ascii="宋体" w:hAnsi="宋体" w:cs="宋体"/>
          <w:b/>
          <w:bCs/>
          <w:sz w:val="28"/>
          <w:szCs w:val="28"/>
          <w14:shadow w14:blurRad="50800" w14:dist="38100" w14:dir="2700000" w14:sx="100000" w14:sy="100000" w14:kx="0" w14:ky="0" w14:algn="tl">
            <w14:srgbClr w14:val="000000">
              <w14:alpha w14:val="60000"/>
            </w14:srgbClr>
          </w14:shadow>
        </w:rPr>
        <w:t>附录A：</w:t>
      </w:r>
    </w:p>
    <w:p>
      <w:pPr>
        <w:pStyle w:val="2"/>
        <w:spacing w:line="240" w:lineRule="auto"/>
        <w:jc w:val="center"/>
        <w:rPr>
          <w:rFonts w:ascii="宋体" w:hAnsi="宋体" w:cs="宋体"/>
          <w:b/>
          <w:bCs/>
          <w:snapToGrid w:val="0"/>
          <w:kern w:val="0"/>
          <w:sz w:val="30"/>
          <w:szCs w:val="30"/>
        </w:rPr>
      </w:pPr>
      <w:r>
        <w:rPr>
          <w:rFonts w:hint="default" w:ascii="Times New Roman" w:hAnsi="Times New Roman" w:eastAsia="宋体" w:cs="Times New Roman"/>
          <w:b/>
          <w:bCs/>
          <w:sz w:val="30"/>
          <w:szCs w:val="30"/>
          <w:lang w:val="en-US" w:eastAsia="zh-CN"/>
        </w:rPr>
        <w:t>灯杆</w:t>
      </w:r>
      <w:r>
        <w:rPr>
          <w:rFonts w:hint="default" w:ascii="Times New Roman" w:hAnsi="Times New Roman" w:eastAsia="宋体" w:cs="Times New Roman"/>
          <w:b/>
          <w:bCs/>
          <w:sz w:val="30"/>
          <w:szCs w:val="30"/>
        </w:rPr>
        <w:t>壁厚测量</w:t>
      </w:r>
      <w:r>
        <w:rPr>
          <w:rFonts w:hint="default" w:ascii="Times New Roman" w:hAnsi="Times New Roman" w:eastAsia="宋体" w:cs="Times New Roman"/>
          <w:b/>
          <w:bCs/>
          <w:sz w:val="30"/>
          <w:szCs w:val="30"/>
          <w:lang w:val="en-US" w:eastAsia="zh-CN"/>
        </w:rPr>
        <w:t>过程</w:t>
      </w:r>
      <w:r>
        <w:rPr>
          <w:rFonts w:hint="eastAsia" w:cs="Times New Roman"/>
          <w:b/>
          <w:bCs/>
          <w:sz w:val="30"/>
          <w:szCs w:val="30"/>
          <w:lang w:val="en-US" w:eastAsia="zh-CN"/>
        </w:rPr>
        <w:t>测量</w:t>
      </w:r>
      <w:r>
        <w:rPr>
          <w:rFonts w:hint="eastAsia" w:ascii="宋体" w:hAnsi="宋体" w:cs="宋体"/>
          <w:b/>
          <w:bCs/>
          <w:snapToGrid w:val="0"/>
          <w:kern w:val="0"/>
          <w:sz w:val="30"/>
          <w:szCs w:val="30"/>
        </w:rPr>
        <w:t>不确定</w:t>
      </w:r>
      <w:r>
        <w:rPr>
          <w:rFonts w:hint="eastAsia" w:ascii="宋体" w:hAnsi="宋体" w:cs="宋体"/>
          <w:b/>
          <w:bCs/>
          <w:snapToGrid w:val="0"/>
          <w:kern w:val="0"/>
          <w:sz w:val="30"/>
          <w:szCs w:val="30"/>
          <w:lang w:val="en-US" w:eastAsia="zh-CN"/>
        </w:rPr>
        <w:t>度</w:t>
      </w:r>
      <w:bookmarkStart w:id="0" w:name="_GoBack"/>
      <w:bookmarkEnd w:id="0"/>
      <w:r>
        <w:rPr>
          <w:rFonts w:hint="eastAsia" w:ascii="宋体" w:hAnsi="宋体" w:cs="宋体"/>
          <w:b/>
          <w:bCs/>
          <w:snapToGrid w:val="0"/>
          <w:kern w:val="0"/>
          <w:sz w:val="30"/>
          <w:szCs w:val="30"/>
        </w:rPr>
        <w:t>评定报告</w:t>
      </w:r>
    </w:p>
    <w:p>
      <w:pPr>
        <w:pStyle w:val="2"/>
        <w:numPr>
          <w:ilvl w:val="0"/>
          <w:numId w:val="1"/>
        </w:numPr>
        <w:spacing w:line="360" w:lineRule="auto"/>
        <w:jc w:val="left"/>
        <w:rPr>
          <w:sz w:val="24"/>
        </w:rPr>
      </w:pPr>
      <w:r>
        <w:rPr>
          <w:bCs/>
          <w:sz w:val="24"/>
        </w:rPr>
        <w:t>测量过程</w:t>
      </w:r>
      <w:r>
        <w:rPr>
          <w:sz w:val="24"/>
        </w:rPr>
        <w:br w:type="textWrapping"/>
      </w:r>
      <w:r>
        <w:rPr>
          <w:bCs/>
          <w:sz w:val="24"/>
        </w:rPr>
        <w:t>1.1</w:t>
      </w:r>
      <w:r>
        <w:rPr>
          <w:sz w:val="24"/>
        </w:rPr>
        <w:t>、测量方法：</w:t>
      </w:r>
    </w:p>
    <w:p>
      <w:pPr>
        <w:autoSpaceDE w:val="0"/>
        <w:autoSpaceDN w:val="0"/>
        <w:adjustRightInd w:val="0"/>
        <w:snapToGrid w:val="0"/>
        <w:spacing w:line="360" w:lineRule="auto"/>
        <w:ind w:firstLine="420" w:firstLineChars="200"/>
        <w:jc w:val="both"/>
        <w:rPr>
          <w:rFonts w:hint="default"/>
          <w:bCs/>
          <w:sz w:val="24"/>
          <w:lang w:val="en-US"/>
        </w:rPr>
      </w:pPr>
      <w:r>
        <w:rPr>
          <w:rFonts w:hint="default" w:ascii="Times New Roman" w:hAnsi="Times New Roman" w:eastAsia="宋体" w:cs="Times New Roman"/>
          <w:b w:val="0"/>
          <w:bCs w:val="0"/>
          <w:sz w:val="21"/>
          <w:szCs w:val="21"/>
        </w:rPr>
        <w:t>GB/T</w:t>
      </w:r>
      <w:r>
        <w:rPr>
          <w:rFonts w:hint="eastAsia" w:ascii="Times New Roman" w:hAnsi="Times New Roman" w:eastAsia="宋体" w:cs="Times New Roman"/>
          <w:b w:val="0"/>
          <w:bCs w:val="0"/>
          <w:sz w:val="21"/>
          <w:szCs w:val="21"/>
          <w:lang w:val="en-US" w:eastAsia="zh-CN"/>
        </w:rPr>
        <w:t>24907</w:t>
      </w:r>
      <w:r>
        <w:rPr>
          <w:rFonts w:hint="default" w:ascii="Times New Roman" w:hAnsi="Times New Roman" w:eastAsia="宋体" w:cs="Times New Roman"/>
          <w:b w:val="0"/>
          <w:bCs w:val="0"/>
          <w:sz w:val="21"/>
          <w:szCs w:val="21"/>
        </w:rPr>
        <w:t>-20</w:t>
      </w:r>
      <w:r>
        <w:rPr>
          <w:rFonts w:hint="eastAsia" w:ascii="Times New Roman" w:hAnsi="Times New Roman" w:eastAsia="宋体" w:cs="Times New Roman"/>
          <w:b w:val="0"/>
          <w:bCs w:val="0"/>
          <w:sz w:val="21"/>
          <w:szCs w:val="21"/>
          <w:lang w:val="en-US" w:eastAsia="zh-CN"/>
        </w:rPr>
        <w:t>10《道路照明用LED灯 性能要求》</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1.2、环境条件：常温</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w:t>
      </w:r>
      <w:r>
        <w:rPr>
          <w:color w:val="000000" w:themeColor="text1"/>
          <w:sz w:val="24"/>
          <w14:textFill>
            <w14:solidFill>
              <w14:schemeClr w14:val="tx1"/>
            </w14:solidFill>
          </w14:textFill>
        </w:rPr>
        <w:t>检测设备：</w:t>
      </w:r>
      <w:r>
        <w:rPr>
          <w:rFonts w:hint="eastAsia"/>
          <w:color w:val="000000" w:themeColor="text1"/>
          <w:sz w:val="24"/>
          <w:lang w:val="en-US" w:eastAsia="zh-CN"/>
          <w14:textFill>
            <w14:solidFill>
              <w14:schemeClr w14:val="tx1"/>
            </w14:solidFill>
          </w14:textFill>
        </w:rPr>
        <w:t>游标卡尺</w:t>
      </w:r>
      <w:r>
        <w:rPr>
          <w:sz w:val="24"/>
        </w:rPr>
        <w:t>（0~</w:t>
      </w:r>
      <w:r>
        <w:rPr>
          <w:rFonts w:hint="eastAsia"/>
          <w:sz w:val="24"/>
          <w:lang w:val="en-US" w:eastAsia="zh-CN"/>
        </w:rPr>
        <w:t>200</w:t>
      </w:r>
      <w:r>
        <w:rPr>
          <w:sz w:val="24"/>
        </w:rPr>
        <w:t>）mm,允差±0.0</w:t>
      </w:r>
      <w:r>
        <w:rPr>
          <w:rFonts w:hint="eastAsia"/>
          <w:sz w:val="24"/>
          <w:lang w:val="en-US" w:eastAsia="zh-CN"/>
        </w:rPr>
        <w:t>3</w:t>
      </w:r>
      <w:r>
        <w:rPr>
          <w:sz w:val="24"/>
        </w:rPr>
        <w:t>mm</w:t>
      </w:r>
      <w:r>
        <w:rPr>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1.4、被测对象：</w:t>
      </w:r>
      <w:r>
        <w:rPr>
          <w:rFonts w:hint="eastAsia" w:ascii="宋体" w:hAnsi="宋体" w:cs="宋体"/>
          <w:b w:val="0"/>
          <w:bCs w:val="0"/>
          <w:sz w:val="24"/>
          <w:szCs w:val="24"/>
          <w:lang w:val="en-US" w:eastAsia="zh-CN"/>
        </w:rPr>
        <w:t>灯杆</w:t>
      </w:r>
      <w:r>
        <w:rPr>
          <w:sz w:val="24"/>
        </w:rPr>
        <w:t>壁厚尺寸</w:t>
      </w:r>
      <w:r>
        <w:rPr>
          <w:rFonts w:hint="eastAsia"/>
          <w:sz w:val="24"/>
          <w:lang w:eastAsia="zh-CN"/>
        </w:rPr>
        <w:t>：</w:t>
      </w:r>
      <w:r>
        <w:rPr>
          <w:rFonts w:hint="default" w:ascii="Times New Roman" w:hAnsi="Times New Roman" w:eastAsia="宋体" w:cs="Times New Roman"/>
          <w:sz w:val="21"/>
          <w:szCs w:val="21"/>
        </w:rPr>
        <w:t>壁厚</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4±0.17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mm</w:t>
      </w:r>
      <w:r>
        <w:rPr>
          <w:color w:val="000000" w:themeColor="text1"/>
          <w:kern w:val="0"/>
          <w:sz w:val="24"/>
          <w14:textFill>
            <w14:solidFill>
              <w14:schemeClr w14:val="tx1"/>
            </w14:solidFill>
          </w14:textFill>
        </w:rPr>
        <w:t>。</w:t>
      </w:r>
    </w:p>
    <w:p>
      <w:pPr>
        <w:spacing w:line="360" w:lineRule="auto"/>
        <w:ind w:left="480" w:hanging="480" w:hangingChars="200"/>
        <w:rPr>
          <w:b/>
          <w:bCs/>
          <w:color w:val="FF0000"/>
          <w:sz w:val="24"/>
        </w:rPr>
      </w:pPr>
      <w:r>
        <w:rPr>
          <w:color w:val="000000" w:themeColor="text1"/>
          <w:sz w:val="24"/>
          <w14:textFill>
            <w14:solidFill>
              <w14:schemeClr w14:val="tx1"/>
            </w14:solidFill>
          </w14:textFill>
        </w:rPr>
        <w:t>1.5、测量过程：将被测</w:t>
      </w:r>
      <w:r>
        <w:rPr>
          <w:rFonts w:hint="eastAsia"/>
          <w:color w:val="000000" w:themeColor="text1"/>
          <w:sz w:val="24"/>
          <w:lang w:val="en-US" w:eastAsia="zh-CN"/>
          <w14:textFill>
            <w14:solidFill>
              <w14:schemeClr w14:val="tx1"/>
            </w14:solidFill>
          </w14:textFill>
        </w:rPr>
        <w:t>灯杆</w:t>
      </w:r>
      <w:r>
        <w:rPr>
          <w:color w:val="000000" w:themeColor="text1"/>
          <w:sz w:val="24"/>
          <w14:textFill>
            <w14:solidFill>
              <w14:schemeClr w14:val="tx1"/>
            </w14:solidFill>
          </w14:textFill>
        </w:rPr>
        <w:t>稳固放置，</w:t>
      </w:r>
      <w:r>
        <w:rPr>
          <w:sz w:val="24"/>
        </w:rPr>
        <w:t>将</w:t>
      </w:r>
      <w:r>
        <w:rPr>
          <w:rFonts w:hint="eastAsia"/>
          <w:sz w:val="24"/>
          <w:lang w:val="en-US" w:eastAsia="zh-CN"/>
        </w:rPr>
        <w:t>游标卡尺</w:t>
      </w:r>
      <w:r>
        <w:rPr>
          <w:sz w:val="24"/>
        </w:rPr>
        <w:t>对准零位后，测量</w:t>
      </w:r>
      <w:r>
        <w:rPr>
          <w:rFonts w:hint="eastAsia"/>
          <w:sz w:val="24"/>
          <w:lang w:val="en-US" w:eastAsia="zh-CN"/>
        </w:rPr>
        <w:t>灯杆</w:t>
      </w:r>
      <w:r>
        <w:rPr>
          <w:sz w:val="24"/>
        </w:rPr>
        <w:t>壁厚尺寸，读取</w:t>
      </w:r>
      <w:r>
        <w:rPr>
          <w:rFonts w:hint="eastAsia"/>
          <w:sz w:val="24"/>
          <w:lang w:val="en-US" w:eastAsia="zh-CN"/>
        </w:rPr>
        <w:t>游标卡尺</w:t>
      </w:r>
      <w:r>
        <w:rPr>
          <w:sz w:val="24"/>
        </w:rPr>
        <w:t>示值即为</w:t>
      </w:r>
      <w:r>
        <w:rPr>
          <w:rFonts w:hint="eastAsia"/>
          <w:sz w:val="24"/>
          <w:lang w:val="en-US" w:eastAsia="zh-CN"/>
        </w:rPr>
        <w:t>灯杆</w:t>
      </w:r>
      <w:r>
        <w:rPr>
          <w:sz w:val="24"/>
        </w:rPr>
        <w:t>壁厚尺寸，记录数据，计算平均值</w:t>
      </w:r>
      <w:r>
        <w:rPr>
          <w:bCs/>
          <w:color w:val="000000" w:themeColor="text1"/>
          <w:sz w:val="24"/>
          <w14:textFill>
            <w14:solidFill>
              <w14:schemeClr w14:val="tx1"/>
            </w14:solidFill>
          </w14:textFill>
        </w:rPr>
        <w:t>。</w:t>
      </w:r>
    </w:p>
    <w:p>
      <w:pPr>
        <w:pStyle w:val="7"/>
        <w:numPr>
          <w:ilvl w:val="0"/>
          <w:numId w:val="2"/>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autoSpaceDE w:val="0"/>
        <w:autoSpaceDN w:val="0"/>
        <w:spacing w:line="360" w:lineRule="auto"/>
        <w:ind w:firstLine="1320" w:firstLineChars="550"/>
        <w:rPr>
          <w:sz w:val="24"/>
        </w:rPr>
      </w:pPr>
      <w:r>
        <w:rPr>
          <w:sz w:val="24"/>
        </w:rPr>
        <w:t xml:space="preserve">   </w:t>
      </w:r>
      <m:oMath>
        <m:r>
          <w:rPr>
            <w:rFonts w:ascii="Cambria Math" w:hAnsi="Cambria Math"/>
            <w:position w:val="-4"/>
            <w:sz w:val="24"/>
          </w:rPr>
          <m:t>ΔL=L</m:t>
        </m:r>
      </m:oMath>
      <w:r>
        <w:rPr>
          <w:sz w:val="24"/>
        </w:rPr>
        <w:t xml:space="preserve">                                     （1）</w:t>
      </w:r>
    </w:p>
    <w:p>
      <w:pPr>
        <w:spacing w:line="360" w:lineRule="auto"/>
        <w:ind w:firstLine="720" w:firstLineChars="300"/>
        <w:rPr>
          <w:sz w:val="24"/>
        </w:rPr>
      </w:pPr>
      <w:r>
        <w:rPr>
          <w:sz w:val="24"/>
        </w:rPr>
        <w:t>式中：</w:t>
      </w:r>
      <m:oMath>
        <m:r>
          <w:rPr>
            <w:rFonts w:ascii="Cambria Math" w:hAnsi="Cambria Math"/>
            <w:position w:val="-4"/>
            <w:sz w:val="24"/>
          </w:rPr>
          <m:t>ΔL</m:t>
        </m:r>
      </m:oMath>
      <w:r>
        <w:rPr>
          <w:sz w:val="24"/>
        </w:rPr>
        <w:t xml:space="preserve"> ---</w:t>
      </w:r>
      <w:r>
        <w:rPr>
          <w:rFonts w:hint="eastAsia"/>
          <w:sz w:val="24"/>
          <w:lang w:val="en-US" w:eastAsia="zh-CN"/>
        </w:rPr>
        <w:t>灯杆</w:t>
      </w:r>
      <w:r>
        <w:rPr>
          <w:sz w:val="24"/>
        </w:rPr>
        <w:t>壁厚</w:t>
      </w:r>
      <w:r>
        <w:rPr>
          <w:kern w:val="0"/>
          <w:sz w:val="24"/>
        </w:rPr>
        <w:t>测量结果</w:t>
      </w:r>
    </w:p>
    <w:p>
      <w:pPr>
        <w:pStyle w:val="7"/>
        <w:spacing w:line="360" w:lineRule="auto"/>
        <w:ind w:firstLine="1440" w:firstLineChars="600"/>
        <w:rPr>
          <w:sz w:val="24"/>
        </w:rPr>
      </w:pPr>
      <w:r>
        <w:rPr>
          <w:sz w:val="24"/>
        </w:rPr>
        <w:t>L----</w:t>
      </w:r>
      <w:r>
        <w:rPr>
          <w:rFonts w:hint="eastAsia"/>
          <w:sz w:val="24"/>
          <w:lang w:val="en-US" w:eastAsia="zh-CN"/>
        </w:rPr>
        <w:t>灯杆</w:t>
      </w:r>
      <w:r>
        <w:rPr>
          <w:sz w:val="24"/>
        </w:rPr>
        <w:t>壁厚读数值</w:t>
      </w:r>
    </w:p>
    <w:p>
      <w:pPr>
        <w:numPr>
          <w:ilvl w:val="0"/>
          <w:numId w:val="3"/>
        </w:numPr>
        <w:rPr>
          <w:sz w:val="24"/>
        </w:rPr>
      </w:pPr>
      <w:r>
        <w:rPr>
          <w:b/>
          <w:sz w:val="24"/>
        </w:rPr>
        <w:t>输入量的标准不确定度评定</w:t>
      </w:r>
    </w:p>
    <w:p>
      <w:pPr>
        <w:ind w:firstLine="616" w:firstLineChars="257"/>
        <w:rPr>
          <w:bCs/>
          <w:sz w:val="24"/>
        </w:rPr>
      </w:pPr>
      <w:r>
        <w:rPr>
          <w:sz w:val="24"/>
        </w:rPr>
        <w:t>输入量的不确定度来源主要是：测量重复性引起的不确定度</w:t>
      </w:r>
      <w:r>
        <w:rPr>
          <w:position w:val="-10"/>
          <w:sz w:val="24"/>
        </w:rPr>
        <w:object>
          <v:shape id="_x0000_i1025" o:spt="75" type="#_x0000_t75" style="height:16.85pt;width:11.95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b/>
          <w:bCs/>
          <w:sz w:val="24"/>
        </w:rPr>
        <w:t>；</w:t>
      </w:r>
      <w:r>
        <w:rPr>
          <w:bCs/>
          <w:sz w:val="24"/>
        </w:rPr>
        <w:t>测量设备</w:t>
      </w:r>
      <w:r>
        <w:rPr>
          <w:sz w:val="24"/>
        </w:rPr>
        <w:t>引入的标准不确定度</w:t>
      </w:r>
      <w:r>
        <w:rPr>
          <w:position w:val="-10"/>
          <w:sz w:val="24"/>
        </w:rPr>
        <w:object>
          <v:shape id="_x0000_i1026" o:spt="75" type="#_x0000_t75" style="height:16.85pt;width:12.8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bCs/>
          <w:sz w:val="24"/>
        </w:rPr>
        <w:t>。</w:t>
      </w:r>
    </w:p>
    <w:p>
      <w:pPr>
        <w:rPr>
          <w:sz w:val="24"/>
        </w:rPr>
      </w:pPr>
      <w:r>
        <w:rPr>
          <w:sz w:val="24"/>
        </w:rPr>
        <w:t>3.1测量重复性引起的标准不确定度</w:t>
      </w:r>
      <w:r>
        <w:rPr>
          <w:position w:val="-10"/>
          <w:sz w:val="24"/>
        </w:rPr>
        <w:object>
          <v:shape id="_x0000_i1027" o:spt="75" type="#_x0000_t75" style="height:16.85pt;width:11.95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sz w:val="24"/>
        </w:rPr>
      </w:pPr>
      <w:r>
        <w:rPr>
          <w:sz w:val="24"/>
        </w:rPr>
        <w:t>做A类评定测量：在</w:t>
      </w:r>
      <w:r>
        <w:rPr>
          <w:rFonts w:hint="eastAsia"/>
          <w:sz w:val="24"/>
          <w:lang w:val="en-US" w:eastAsia="zh-CN"/>
        </w:rPr>
        <w:t>游标卡尺</w:t>
      </w:r>
      <w:r>
        <w:rPr>
          <w:sz w:val="24"/>
        </w:rPr>
        <w:t>正常工作状态下，同一组人，用同一台设备，在相临近的时间内，对被测试件连续测量10次，得10个测量数据汇于表1：</w:t>
      </w:r>
    </w:p>
    <w:p>
      <w:pPr>
        <w:spacing w:line="360" w:lineRule="auto"/>
        <w:ind w:firstLine="3600" w:firstLineChars="1500"/>
        <w:rPr>
          <w:sz w:val="24"/>
        </w:rPr>
      </w:pPr>
      <w:r>
        <w:rPr>
          <w:sz w:val="24"/>
        </w:rPr>
        <w:t>表1重复性数据</w:t>
      </w:r>
    </w:p>
    <w:tbl>
      <w:tblPr>
        <w:tblStyle w:val="5"/>
        <w:tblpPr w:leftFromText="180" w:rightFromText="180" w:vertAnchor="text" w:horzAnchor="page" w:tblpX="1916" w:tblpY="24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73"/>
        <w:gridCol w:w="773"/>
        <w:gridCol w:w="773"/>
        <w:gridCol w:w="773"/>
        <w:gridCol w:w="773"/>
        <w:gridCol w:w="773"/>
        <w:gridCol w:w="773"/>
        <w:gridCol w:w="773"/>
        <w:gridCol w:w="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69" w:type="dxa"/>
            <w:vAlign w:val="center"/>
          </w:tcPr>
          <w:p>
            <w:pPr>
              <w:widowControl/>
              <w:adjustRightInd w:val="0"/>
              <w:spacing w:line="360" w:lineRule="auto"/>
              <w:ind w:firstLine="120" w:firstLineChars="50"/>
              <w:jc w:val="center"/>
              <w:rPr>
                <w:sz w:val="24"/>
              </w:rPr>
            </w:pPr>
            <w:r>
              <w:rPr>
                <w:sz w:val="24"/>
              </w:rPr>
              <w:t>序号</w:t>
            </w:r>
          </w:p>
        </w:tc>
        <w:tc>
          <w:tcPr>
            <w:tcW w:w="773" w:type="dxa"/>
            <w:vAlign w:val="center"/>
          </w:tcPr>
          <w:p>
            <w:pPr>
              <w:widowControl/>
              <w:adjustRightInd w:val="0"/>
              <w:spacing w:line="360" w:lineRule="auto"/>
              <w:ind w:left="237" w:leftChars="113"/>
              <w:jc w:val="center"/>
              <w:rPr>
                <w:sz w:val="24"/>
              </w:rPr>
            </w:pPr>
            <w:r>
              <w:rPr>
                <w:sz w:val="24"/>
              </w:rPr>
              <w:t>1</w:t>
            </w:r>
          </w:p>
        </w:tc>
        <w:tc>
          <w:tcPr>
            <w:tcW w:w="773" w:type="dxa"/>
            <w:vAlign w:val="center"/>
          </w:tcPr>
          <w:p>
            <w:pPr>
              <w:widowControl/>
              <w:adjustRightInd w:val="0"/>
              <w:spacing w:line="360" w:lineRule="auto"/>
              <w:ind w:left="237"/>
              <w:jc w:val="center"/>
              <w:rPr>
                <w:sz w:val="24"/>
              </w:rPr>
            </w:pPr>
            <w:r>
              <w:rPr>
                <w:sz w:val="24"/>
              </w:rPr>
              <w:t>2</w:t>
            </w:r>
          </w:p>
        </w:tc>
        <w:tc>
          <w:tcPr>
            <w:tcW w:w="773" w:type="dxa"/>
            <w:vAlign w:val="center"/>
          </w:tcPr>
          <w:p>
            <w:pPr>
              <w:widowControl/>
              <w:adjustRightInd w:val="0"/>
              <w:spacing w:line="360" w:lineRule="auto"/>
              <w:ind w:left="252"/>
              <w:jc w:val="center"/>
              <w:rPr>
                <w:sz w:val="24"/>
              </w:rPr>
            </w:pPr>
            <w:r>
              <w:rPr>
                <w:sz w:val="24"/>
              </w:rPr>
              <w:t>3</w:t>
            </w:r>
          </w:p>
        </w:tc>
        <w:tc>
          <w:tcPr>
            <w:tcW w:w="773" w:type="dxa"/>
            <w:vAlign w:val="center"/>
          </w:tcPr>
          <w:p>
            <w:pPr>
              <w:widowControl/>
              <w:adjustRightInd w:val="0"/>
              <w:spacing w:line="360" w:lineRule="auto"/>
              <w:ind w:firstLine="120" w:firstLineChars="50"/>
              <w:jc w:val="center"/>
              <w:rPr>
                <w:sz w:val="24"/>
              </w:rPr>
            </w:pPr>
            <w:r>
              <w:rPr>
                <w:sz w:val="24"/>
              </w:rPr>
              <w:t>4</w:t>
            </w:r>
          </w:p>
        </w:tc>
        <w:tc>
          <w:tcPr>
            <w:tcW w:w="773" w:type="dxa"/>
            <w:vAlign w:val="center"/>
          </w:tcPr>
          <w:p>
            <w:pPr>
              <w:widowControl/>
              <w:adjustRightInd w:val="0"/>
              <w:spacing w:line="360" w:lineRule="auto"/>
              <w:ind w:left="103" w:leftChars="49" w:firstLine="120" w:firstLineChars="50"/>
              <w:jc w:val="center"/>
              <w:rPr>
                <w:sz w:val="24"/>
              </w:rPr>
            </w:pPr>
            <w:r>
              <w:rPr>
                <w:sz w:val="24"/>
              </w:rPr>
              <w:t>5</w:t>
            </w:r>
          </w:p>
        </w:tc>
        <w:tc>
          <w:tcPr>
            <w:tcW w:w="773" w:type="dxa"/>
            <w:vAlign w:val="center"/>
          </w:tcPr>
          <w:p>
            <w:pPr>
              <w:widowControl/>
              <w:adjustRightInd w:val="0"/>
              <w:spacing w:line="360" w:lineRule="auto"/>
              <w:ind w:left="237" w:leftChars="113"/>
              <w:jc w:val="center"/>
              <w:rPr>
                <w:sz w:val="24"/>
              </w:rPr>
            </w:pPr>
            <w:r>
              <w:rPr>
                <w:sz w:val="24"/>
              </w:rPr>
              <w:t>6</w:t>
            </w:r>
          </w:p>
        </w:tc>
        <w:tc>
          <w:tcPr>
            <w:tcW w:w="773" w:type="dxa"/>
            <w:vAlign w:val="center"/>
          </w:tcPr>
          <w:p>
            <w:pPr>
              <w:widowControl/>
              <w:adjustRightInd w:val="0"/>
              <w:spacing w:line="360" w:lineRule="auto"/>
              <w:ind w:left="237"/>
              <w:jc w:val="center"/>
              <w:rPr>
                <w:sz w:val="24"/>
              </w:rPr>
            </w:pPr>
            <w:r>
              <w:rPr>
                <w:sz w:val="24"/>
              </w:rPr>
              <w:t>7</w:t>
            </w:r>
          </w:p>
        </w:tc>
        <w:tc>
          <w:tcPr>
            <w:tcW w:w="773" w:type="dxa"/>
            <w:vAlign w:val="center"/>
          </w:tcPr>
          <w:p>
            <w:pPr>
              <w:widowControl/>
              <w:adjustRightInd w:val="0"/>
              <w:spacing w:line="360" w:lineRule="auto"/>
              <w:ind w:left="252"/>
              <w:jc w:val="center"/>
              <w:rPr>
                <w:sz w:val="24"/>
              </w:rPr>
            </w:pPr>
            <w:r>
              <w:rPr>
                <w:sz w:val="24"/>
              </w:rPr>
              <w:t>8</w:t>
            </w:r>
          </w:p>
        </w:tc>
        <w:tc>
          <w:tcPr>
            <w:tcW w:w="773" w:type="dxa"/>
            <w:vAlign w:val="center"/>
          </w:tcPr>
          <w:p>
            <w:pPr>
              <w:widowControl/>
              <w:adjustRightInd w:val="0"/>
              <w:spacing w:line="360" w:lineRule="auto"/>
              <w:ind w:firstLine="120" w:firstLineChars="50"/>
              <w:jc w:val="center"/>
              <w:rPr>
                <w:sz w:val="24"/>
              </w:rPr>
            </w:pPr>
            <w:r>
              <w:rPr>
                <w:sz w:val="24"/>
              </w:rPr>
              <w:t>9</w:t>
            </w:r>
          </w:p>
        </w:tc>
        <w:tc>
          <w:tcPr>
            <w:tcW w:w="775" w:type="dxa"/>
            <w:vAlign w:val="center"/>
          </w:tcPr>
          <w:p>
            <w:pPr>
              <w:widowControl/>
              <w:adjustRightInd w:val="0"/>
              <w:spacing w:line="360" w:lineRule="auto"/>
              <w:ind w:left="103" w:leftChars="49" w:firstLine="120" w:firstLineChars="50"/>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69" w:type="dxa"/>
            <w:vAlign w:val="center"/>
          </w:tcPr>
          <w:p>
            <w:pPr>
              <w:widowControl/>
              <w:adjustRightInd w:val="0"/>
              <w:spacing w:line="360" w:lineRule="auto"/>
              <w:jc w:val="center"/>
              <w:rPr>
                <w:sz w:val="24"/>
              </w:rPr>
            </w:pPr>
            <w:r>
              <w:rPr>
                <w:sz w:val="24"/>
              </w:rPr>
              <w:t>L读数值(mm)</w:t>
            </w:r>
          </w:p>
        </w:tc>
        <w:tc>
          <w:tcPr>
            <w:tcW w:w="773" w:type="dxa"/>
            <w:vAlign w:val="center"/>
          </w:tcPr>
          <w:p>
            <w:pPr>
              <w:widowControl/>
              <w:jc w:val="center"/>
              <w:rPr>
                <w:rFonts w:hint="default" w:eastAsia="宋体"/>
                <w:kern w:val="0"/>
                <w:sz w:val="24"/>
                <w:lang w:val="en-US" w:eastAsia="zh-CN"/>
              </w:rPr>
            </w:pPr>
            <w:r>
              <w:rPr>
                <w:rFonts w:hint="eastAsia"/>
                <w:kern w:val="0"/>
                <w:sz w:val="24"/>
                <w:lang w:val="en-US" w:eastAsia="zh-CN"/>
              </w:rPr>
              <w:t>4.10</w:t>
            </w:r>
          </w:p>
        </w:tc>
        <w:tc>
          <w:tcPr>
            <w:tcW w:w="773" w:type="dxa"/>
            <w:vAlign w:val="center"/>
          </w:tcPr>
          <w:p>
            <w:pPr>
              <w:widowControl/>
              <w:jc w:val="center"/>
              <w:rPr>
                <w:rFonts w:hint="default" w:eastAsia="宋体"/>
                <w:kern w:val="0"/>
                <w:sz w:val="24"/>
                <w:lang w:val="en-US" w:eastAsia="zh-CN"/>
              </w:rPr>
            </w:pPr>
            <w:r>
              <w:rPr>
                <w:rFonts w:hint="eastAsia"/>
                <w:kern w:val="0"/>
                <w:sz w:val="24"/>
                <w:lang w:val="en-US" w:eastAsia="zh-CN"/>
              </w:rPr>
              <w:t>4.10</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kern w:val="0"/>
                <w:sz w:val="24"/>
                <w:lang w:val="en-US" w:eastAsia="zh-CN"/>
              </w:rPr>
              <w:t>4.10</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kern w:val="0"/>
                <w:sz w:val="24"/>
                <w:lang w:val="en-US" w:eastAsia="zh-CN"/>
              </w:rPr>
              <w:t>4.12</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kern w:val="0"/>
                <w:sz w:val="24"/>
                <w:lang w:val="en-US" w:eastAsia="zh-CN"/>
              </w:rPr>
              <w:t>4.12</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kern w:val="0"/>
                <w:sz w:val="24"/>
                <w:lang w:val="en-US" w:eastAsia="zh-CN"/>
              </w:rPr>
              <w:t>4.12</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kern w:val="0"/>
                <w:sz w:val="24"/>
                <w:lang w:val="en-US" w:eastAsia="zh-CN"/>
              </w:rPr>
              <w:t>4.14</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kern w:val="0"/>
                <w:sz w:val="24"/>
                <w:lang w:val="en-US" w:eastAsia="zh-CN"/>
              </w:rPr>
              <w:t>4.14</w:t>
            </w:r>
          </w:p>
        </w:tc>
        <w:tc>
          <w:tcPr>
            <w:tcW w:w="773"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kern w:val="0"/>
                <w:sz w:val="24"/>
                <w:lang w:val="en-US" w:eastAsia="zh-CN"/>
              </w:rPr>
              <w:t>4.14</w:t>
            </w:r>
          </w:p>
        </w:tc>
        <w:tc>
          <w:tcPr>
            <w:tcW w:w="775" w:type="dxa"/>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kern w:val="0"/>
                <w:sz w:val="24"/>
                <w:lang w:val="en-US" w:eastAsia="zh-CN"/>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9" w:type="dxa"/>
            <w:vAlign w:val="center"/>
          </w:tcPr>
          <w:p>
            <w:pPr>
              <w:widowControl/>
              <w:adjustRightInd w:val="0"/>
              <w:spacing w:line="360" w:lineRule="auto"/>
              <w:jc w:val="center"/>
              <w:rPr>
                <w:rFonts w:hint="eastAsia" w:eastAsia="宋体"/>
                <w:sz w:val="24"/>
                <w:lang w:eastAsia="zh-CN"/>
              </w:rPr>
            </w:pPr>
            <w:r>
              <w:rPr>
                <w:rFonts w:hint="eastAsia" w:eastAsia="宋体"/>
                <w:position w:val="-10"/>
                <w:sz w:val="24"/>
                <w:lang w:eastAsia="zh-CN"/>
              </w:rPr>
              <w:object>
                <v:shape id="_x0000_i1028" o:spt="75" type="#_x0000_t75" style="height:19pt;width:38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tc>
        <w:tc>
          <w:tcPr>
            <w:tcW w:w="7732" w:type="dxa"/>
            <w:gridSpan w:val="10"/>
            <w:vAlign w:val="center"/>
          </w:tcPr>
          <w:p>
            <w:pPr>
              <w:widowControl/>
              <w:jc w:val="center"/>
              <w:rPr>
                <w:rFonts w:hint="default" w:eastAsia="宋体"/>
                <w:color w:val="0D0D0D" w:themeColor="text1" w:themeTint="F2"/>
                <w:kern w:val="0"/>
                <w:sz w:val="24"/>
                <w:lang w:val="en-US" w:eastAsia="zh-CN"/>
                <w14:textFill>
                  <w14:solidFill>
                    <w14:schemeClr w14:val="tx1">
                      <w14:lumMod w14:val="95000"/>
                      <w14:lumOff w14:val="5000"/>
                    </w14:schemeClr>
                  </w14:solidFill>
                </w14:textFill>
              </w:rPr>
            </w:pPr>
            <w:r>
              <w:rPr>
                <w:rFonts w:hint="eastAsia"/>
                <w:color w:val="0D0D0D" w:themeColor="text1" w:themeTint="F2"/>
                <w:kern w:val="0"/>
                <w:sz w:val="24"/>
                <w:lang w:val="en-US" w:eastAsia="zh-CN"/>
                <w14:textFill>
                  <w14:solidFill>
                    <w14:schemeClr w14:val="tx1">
                      <w14:lumMod w14:val="95000"/>
                      <w14:lumOff w14:val="5000"/>
                    </w14:schemeClr>
                  </w14:solidFill>
                </w14:textFill>
              </w:rPr>
              <w:t>4.122</w:t>
            </w:r>
          </w:p>
        </w:tc>
      </w:tr>
    </w:tbl>
    <w:p>
      <w:pPr>
        <w:spacing w:line="360" w:lineRule="auto"/>
        <w:ind w:firstLine="720" w:firstLineChars="300"/>
        <w:rPr>
          <w:sz w:val="24"/>
        </w:rPr>
      </w:pPr>
    </w:p>
    <w:p>
      <w:pPr>
        <w:spacing w:line="360" w:lineRule="auto"/>
        <w:ind w:firstLine="720" w:firstLineChars="300"/>
        <w:rPr>
          <w:sz w:val="24"/>
        </w:rPr>
      </w:pPr>
      <w:r>
        <w:rPr>
          <w:sz w:val="24"/>
        </w:rPr>
        <w:t>被测试件测量值的平均值：</w:t>
      </w:r>
      <w:r>
        <w:rPr>
          <w:position w:val="-24"/>
          <w:sz w:val="24"/>
        </w:rPr>
        <w:object>
          <v:shape id="_x0000_i1029" o:spt="75" type="#_x0000_t75" style="height:36.1pt;width:122.95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p>
      <w:pPr>
        <w:tabs>
          <w:tab w:val="left" w:pos="2489"/>
        </w:tabs>
        <w:spacing w:line="360" w:lineRule="auto"/>
        <w:ind w:left="780" w:firstLine="1920" w:firstLineChars="800"/>
        <w:rPr>
          <w:color w:val="0D0D0D" w:themeColor="text1" w:themeTint="F2"/>
          <w:sz w:val="24"/>
          <w14:textFill>
            <w14:solidFill>
              <w14:schemeClr w14:val="tx1">
                <w14:lumMod w14:val="95000"/>
                <w14:lumOff w14:val="5000"/>
              </w14:schemeClr>
            </w14:solidFill>
          </w14:textFill>
        </w:rPr>
      </w:pPr>
      <w:r>
        <w:rPr>
          <w:sz w:val="24"/>
        </w:rPr>
        <w:tab/>
      </w:r>
    </w:p>
    <w:p>
      <w:pPr>
        <w:widowControl/>
        <w:tabs>
          <w:tab w:val="center" w:pos="4360"/>
          <w:tab w:val="right" w:pos="8300"/>
        </w:tabs>
        <w:spacing w:line="360" w:lineRule="auto"/>
        <w:ind w:firstLine="720" w:firstLineChars="300"/>
        <w:rPr>
          <w:kern w:val="0"/>
          <w:sz w:val="24"/>
        </w:rPr>
      </w:pPr>
      <w:r>
        <w:rPr>
          <w:kern w:val="0"/>
          <w:sz w:val="24"/>
        </w:rPr>
        <w:t>实验标准差：</w:t>
      </w:r>
      <w:r>
        <w:rPr>
          <w:kern w:val="0"/>
          <w:position w:val="-26"/>
          <w:sz w:val="24"/>
        </w:rPr>
        <w:object>
          <v:shape id="_x0000_i1030" o:spt="75" type="#_x0000_t75" style="height:43.15pt;width:176.7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ind w:left="780" w:firstLine="1920" w:firstLineChars="800"/>
        <w:rPr>
          <w:sz w:val="24"/>
        </w:rPr>
      </w:pPr>
      <w:r>
        <w:rPr>
          <w:kern w:val="0"/>
          <w:sz w:val="24"/>
        </w:rPr>
        <w:t xml:space="preserve"> </w:t>
      </w:r>
    </w:p>
    <w:p>
      <w:pPr>
        <w:widowControl/>
        <w:tabs>
          <w:tab w:val="center" w:pos="4360"/>
          <w:tab w:val="right" w:pos="8300"/>
        </w:tabs>
        <w:spacing w:line="360" w:lineRule="auto"/>
        <w:ind w:left="420" w:firstLine="360"/>
        <w:rPr>
          <w:color w:val="0D0D0D" w:themeColor="text1" w:themeTint="F2"/>
          <w:sz w:val="24"/>
          <w14:textFill>
            <w14:solidFill>
              <w14:schemeClr w14:val="tx1">
                <w14:lumMod w14:val="95000"/>
                <w14:lumOff w14:val="5000"/>
              </w14:schemeClr>
            </w14:solidFill>
          </w14:textFill>
        </w:rPr>
      </w:pPr>
      <w:r>
        <w:rPr>
          <w:kern w:val="0"/>
          <w:sz w:val="24"/>
        </w:rPr>
        <w:t>标准不确定度分量：</w:t>
      </w:r>
      <w:r>
        <w:rPr>
          <w:color w:val="0D0D0D" w:themeColor="text1" w:themeTint="F2"/>
          <w:kern w:val="0"/>
          <w:sz w:val="24"/>
          <w14:textFill>
            <w14:solidFill>
              <w14:schemeClr w14:val="tx1">
                <w14:lumMod w14:val="95000"/>
                <w14:lumOff w14:val="5000"/>
              </w14:schemeClr>
            </w14:solidFill>
          </w14:textFill>
        </w:rPr>
        <w:t xml:space="preserve"> </w:t>
      </w:r>
      <w:r>
        <w:rPr>
          <w:color w:val="0D0D0D" w:themeColor="text1" w:themeTint="F2"/>
          <w:kern w:val="0"/>
          <w:position w:val="-10"/>
          <w:sz w:val="24"/>
          <w14:textFill>
            <w14:solidFill>
              <w14:schemeClr w14:val="tx1">
                <w14:lumMod w14:val="95000"/>
                <w14:lumOff w14:val="5000"/>
              </w14:schemeClr>
            </w14:solidFill>
          </w14:textFill>
        </w:rPr>
        <w:object>
          <v:shape id="_x0000_i1031" o:spt="75" type="#_x0000_t75" style="height:16.85pt;width:11.95pt;" o:ole="t" filled="f" o:preferrelative="t" stroked="f" coordsize="21600,21600">
            <v:path/>
            <v:fill on="f" focussize="0,0"/>
            <v:stroke on="f" joinstyle="miter"/>
            <v:imagedata r:id="rId18" o:title=""/>
            <o:lock v:ext="edit" aspectratio="t"/>
            <w10:wrap type="none"/>
            <w10:anchorlock/>
          </v:shape>
          <o:OLEObject Type="Embed" ProgID="Equation.KSEE3" ShapeID="_x0000_i1031" DrawAspect="Content" ObjectID="_1468075731" r:id="rId17">
            <o:LockedField>false</o:LockedField>
          </o:OLEObject>
        </w:object>
      </w:r>
      <w:r>
        <w:rPr>
          <w:color w:val="0D0D0D" w:themeColor="text1" w:themeTint="F2"/>
          <w:kern w:val="0"/>
          <w:sz w:val="24"/>
          <w14:textFill>
            <w14:solidFill>
              <w14:schemeClr w14:val="tx1">
                <w14:lumMod w14:val="95000"/>
                <w14:lumOff w14:val="5000"/>
              </w14:schemeClr>
            </w14:solidFill>
          </w14:textFill>
        </w:rPr>
        <w:t>=</w:t>
      </w:r>
      <w:r>
        <w:rPr>
          <w:rFonts w:hint="eastAsia"/>
          <w:color w:val="0D0D0D" w:themeColor="text1" w:themeTint="F2"/>
          <w:kern w:val="0"/>
          <w:sz w:val="24"/>
          <w14:textFill>
            <w14:solidFill>
              <w14:schemeClr w14:val="tx1">
                <w14:lumMod w14:val="95000"/>
                <w14:lumOff w14:val="5000"/>
              </w14:schemeClr>
            </w14:solidFill>
          </w14:textFill>
        </w:rPr>
        <w:t>S</w:t>
      </w:r>
      <w:r>
        <w:rPr>
          <w:color w:val="0D0D0D" w:themeColor="text1" w:themeTint="F2"/>
          <w:kern w:val="0"/>
          <w:sz w:val="24"/>
          <w14:textFill>
            <w14:solidFill>
              <w14:schemeClr w14:val="tx1">
                <w14:lumMod w14:val="95000"/>
                <w14:lumOff w14:val="5000"/>
              </w14:schemeClr>
            </w14:solidFill>
          </w14:textFill>
        </w:rPr>
        <w:t>=0.0</w:t>
      </w:r>
      <w:r>
        <w:rPr>
          <w:rFonts w:hint="eastAsia"/>
          <w:color w:val="0D0D0D" w:themeColor="text1" w:themeTint="F2"/>
          <w:kern w:val="0"/>
          <w:sz w:val="24"/>
          <w:lang w:val="en-US" w:eastAsia="zh-CN"/>
          <w14:textFill>
            <w14:solidFill>
              <w14:schemeClr w14:val="tx1">
                <w14:lumMod w14:val="95000"/>
                <w14:lumOff w14:val="5000"/>
              </w14:schemeClr>
            </w14:solidFill>
          </w14:textFill>
        </w:rPr>
        <w:t>18</w:t>
      </w:r>
      <w:r>
        <w:rPr>
          <w:rFonts w:hint="eastAsia"/>
          <w:color w:val="0D0D0D" w:themeColor="text1" w:themeTint="F2"/>
          <w:kern w:val="0"/>
          <w:sz w:val="24"/>
          <w14:textFill>
            <w14:solidFill>
              <w14:schemeClr w14:val="tx1">
                <w14:lumMod w14:val="95000"/>
                <w14:lumOff w14:val="5000"/>
              </w14:schemeClr>
            </w14:solidFill>
          </w14:textFill>
        </w:rPr>
        <w:t>m</w:t>
      </w:r>
      <w:r>
        <w:rPr>
          <w:color w:val="0D0D0D" w:themeColor="text1" w:themeTint="F2"/>
          <w:kern w:val="0"/>
          <w:sz w:val="24"/>
          <w14:textFill>
            <w14:solidFill>
              <w14:schemeClr w14:val="tx1">
                <w14:lumMod w14:val="95000"/>
                <w14:lumOff w14:val="5000"/>
              </w14:schemeClr>
            </w14:solidFill>
          </w14:textFill>
        </w:rPr>
        <w:t>m</w:t>
      </w:r>
      <w:r>
        <w:rPr>
          <w:sz w:val="24"/>
        </w:rPr>
        <w:t xml:space="preserve">                                 </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w:r>
        <w:rPr>
          <w:kern w:val="0"/>
          <w:position w:val="-10"/>
          <w:sz w:val="24"/>
        </w:rPr>
        <w:object>
          <v:shape id="_x0000_i1032" o:spt="75" type="#_x0000_t75" style="height:16.85pt;width:12.85pt;" o:ole="t" filled="f" o:preferrelative="t" stroked="f" coordsize="21600,21600">
            <v:path/>
            <v:fill on="f" focussize="0,0"/>
            <v:stroke on="f" joinstyle="miter"/>
            <v:imagedata r:id="rId20" o:title=""/>
            <o:lock v:ext="edit" aspectratio="t"/>
            <w10:wrap type="none"/>
            <w10:anchorlock/>
          </v:shape>
          <o:OLEObject Type="Embed" ProgID="Equation.KSEE3" ShapeID="_x0000_i1032" DrawAspect="Content" ObjectID="_1468075732" r:id="rId19">
            <o:LockedField>false</o:LockedField>
          </o:OLEObject>
        </w:object>
      </w:r>
    </w:p>
    <w:p>
      <w:pPr>
        <w:spacing w:line="360" w:lineRule="auto"/>
        <w:ind w:firstLine="480" w:firstLineChars="200"/>
        <w:rPr>
          <w:sz w:val="24"/>
        </w:rPr>
      </w:pPr>
      <w:r>
        <w:rPr>
          <w:rFonts w:hint="eastAsia"/>
          <w:sz w:val="24"/>
          <w:lang w:val="en-US" w:eastAsia="zh-CN"/>
        </w:rPr>
        <w:t>游标卡尺</w:t>
      </w:r>
      <w:r>
        <w:rPr>
          <w:sz w:val="24"/>
        </w:rPr>
        <w:t>的</w:t>
      </w:r>
      <w:r>
        <w:rPr>
          <w:rFonts w:hint="eastAsia"/>
          <w:sz w:val="24"/>
          <w:lang w:val="en-US" w:eastAsia="zh-CN"/>
        </w:rPr>
        <w:t>允</w:t>
      </w:r>
      <w:r>
        <w:rPr>
          <w:sz w:val="24"/>
        </w:rPr>
        <w:t>差为±0.0</w:t>
      </w:r>
      <w:r>
        <w:rPr>
          <w:rFonts w:hint="eastAsia"/>
          <w:sz w:val="24"/>
          <w:lang w:val="en-US" w:eastAsia="zh-CN"/>
        </w:rPr>
        <w:t>3</w:t>
      </w:r>
      <w:r>
        <w:rPr>
          <w:rFonts w:hint="eastAsia"/>
          <w:sz w:val="24"/>
        </w:rPr>
        <w:t>m</w:t>
      </w:r>
      <w:r>
        <w:rPr>
          <w:sz w:val="24"/>
        </w:rPr>
        <w:t>m，</w:t>
      </w:r>
      <w:r>
        <w:rPr>
          <w:rFonts w:hint="eastAsia"/>
          <w:sz w:val="24"/>
        </w:rPr>
        <w:t>服从均匀分布，取α=</w:t>
      </w:r>
      <m:oMath>
        <m:rad>
          <m:radPr>
            <m:degHide m:val="1"/>
            <m:ctrlPr>
              <w:rPr>
                <w:rFonts w:ascii="Cambria Math" w:hAnsi="Cambria Math"/>
                <w:sz w:val="24"/>
              </w:rPr>
            </m:ctrlPr>
          </m:radPr>
          <m:deg>
            <m:ctrlPr>
              <w:rPr>
                <w:rFonts w:ascii="Cambria Math" w:hAnsi="Cambria Math"/>
                <w:sz w:val="24"/>
              </w:rPr>
            </m:ctrlPr>
          </m:deg>
          <m:e>
            <m:r>
              <w:rPr>
                <w:rFonts w:ascii="Cambria Math" w:hAnsi="Cambria Math"/>
                <w:sz w:val="24"/>
              </w:rPr>
              <m:t>3</m:t>
            </m:r>
            <m:ctrlPr>
              <w:rPr>
                <w:rFonts w:ascii="Cambria Math" w:hAnsi="Cambria Math"/>
                <w:sz w:val="24"/>
              </w:rPr>
            </m:ctrlPr>
          </m:e>
        </m:rad>
      </m:oMath>
      <w:r>
        <w:rPr>
          <w:rFonts w:hint="eastAsia"/>
          <w:sz w:val="24"/>
        </w:rPr>
        <w:t>，</w:t>
      </w:r>
      <w:r>
        <w:rPr>
          <w:sz w:val="24"/>
        </w:rPr>
        <w:t>则由设备示值误差引入的不确定分量为：</w:t>
      </w:r>
    </w:p>
    <w:p>
      <w:pPr>
        <w:spacing w:line="360" w:lineRule="auto"/>
        <w:ind w:left="-142" w:firstLine="2980" w:firstLineChars="1242"/>
        <w:rPr>
          <w:i/>
          <w:position w:val="-24"/>
          <w:sz w:val="24"/>
        </w:rPr>
      </w:pPr>
      <w:r>
        <w:rPr>
          <w:i/>
          <w:position w:val="-28"/>
          <w:sz w:val="24"/>
        </w:rPr>
        <w:object>
          <v:shape id="_x0000_i1033" o:spt="75" type="#_x0000_t75" style="height:32.85pt;width:128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1">
            <o:LockedField>false</o:LockedField>
          </o:OLEObject>
        </w:object>
      </w:r>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2246"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2246" w:type="dxa"/>
            <w:vAlign w:val="center"/>
          </w:tcPr>
          <w:p>
            <w:pPr>
              <w:widowControl/>
              <w:adjustRightInd w:val="0"/>
              <w:spacing w:line="360" w:lineRule="auto"/>
              <w:jc w:val="center"/>
              <w:rPr>
                <w:sz w:val="24"/>
              </w:rPr>
            </w:pPr>
            <w:r>
              <w:rPr>
                <w:sz w:val="24"/>
              </w:rPr>
              <w:t>0.0</w:t>
            </w:r>
            <w:r>
              <w:rPr>
                <w:rFonts w:hint="eastAsia"/>
                <w:sz w:val="24"/>
                <w:lang w:val="en-US" w:eastAsia="zh-CN"/>
              </w:rPr>
              <w:t>18</w:t>
            </w:r>
            <w:r>
              <w:rPr>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2246" w:type="dxa"/>
            <w:vAlign w:val="center"/>
          </w:tcPr>
          <w:p>
            <w:pPr>
              <w:widowControl/>
              <w:tabs>
                <w:tab w:val="center" w:pos="4612"/>
              </w:tabs>
              <w:adjustRightInd w:val="0"/>
              <w:spacing w:line="360" w:lineRule="auto"/>
              <w:jc w:val="center"/>
              <w:rPr>
                <w:sz w:val="24"/>
              </w:rPr>
            </w:pPr>
            <w:r>
              <w:rPr>
                <w:sz w:val="24"/>
              </w:rPr>
              <w:t>0.0</w:t>
            </w:r>
            <w:r>
              <w:rPr>
                <w:rFonts w:hint="eastAsia"/>
                <w:sz w:val="24"/>
                <w:lang w:val="en-US" w:eastAsia="zh-CN"/>
              </w:rPr>
              <w:t>17</w:t>
            </w:r>
            <w:r>
              <w:rPr>
                <w:sz w:val="24"/>
              </w:rPr>
              <w:t>mm</w:t>
            </w:r>
          </w:p>
        </w:tc>
      </w:tr>
    </w:tbl>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p>
    <w:p>
      <w:pPr>
        <w:spacing w:line="360" w:lineRule="auto"/>
        <w:ind w:firstLine="480" w:firstLineChars="200"/>
        <w:rPr>
          <w:b/>
          <w:bCs/>
          <w:sz w:val="24"/>
        </w:rPr>
      </w:pPr>
      <w:r>
        <w:rPr>
          <w:position w:val="-12"/>
          <w:sz w:val="24"/>
          <w:vertAlign w:val="subscript"/>
        </w:rPr>
        <w:object>
          <v:shape id="_x0000_i1034" o:spt="75" type="#_x0000_t75" style="height:22.8pt;width:231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rFonts w:hint="eastAsia"/>
          <w:kern w:val="0"/>
          <w:sz w:val="24"/>
        </w:rPr>
        <w:t>,</w:t>
      </w:r>
      <w:r>
        <w:rPr>
          <w:kern w:val="0"/>
          <w:sz w:val="24"/>
        </w:rPr>
        <w:t>置信概率 95％</w:t>
      </w:r>
      <w:r>
        <w:rPr>
          <w:i/>
          <w:sz w:val="24"/>
        </w:rPr>
        <w:t xml:space="preserve">,  </w:t>
      </w:r>
      <w:r>
        <w:rPr>
          <w:sz w:val="24"/>
        </w:rPr>
        <w:t>得</w:t>
      </w:r>
    </w:p>
    <w:p>
      <w:pPr>
        <w:spacing w:line="360" w:lineRule="auto"/>
        <w:ind w:left="780" w:firstLine="780" w:firstLineChars="325"/>
        <w:rPr>
          <w:sz w:val="24"/>
        </w:rPr>
      </w:pPr>
      <w:r>
        <w:rPr>
          <w:sz w:val="24"/>
        </w:rPr>
        <w:t xml:space="preserve"> </w:t>
      </w:r>
      <w:r>
        <w:rPr>
          <w:i/>
          <w:sz w:val="24"/>
        </w:rPr>
        <w:t>U＝</w:t>
      </w:r>
      <w:r>
        <w:rPr>
          <w:sz w:val="24"/>
        </w:rPr>
        <w:t xml:space="preserve"> </w:t>
      </w:r>
      <w:r>
        <w:rPr>
          <w:i/>
          <w:kern w:val="0"/>
          <w:sz w:val="24"/>
        </w:rPr>
        <w:t>k</w:t>
      </w:r>
      <w:r>
        <w:rPr>
          <w:sz w:val="24"/>
        </w:rPr>
        <w:t>u</w:t>
      </w:r>
      <w:r>
        <w:rPr>
          <w:sz w:val="24"/>
          <w:vertAlign w:val="subscript"/>
        </w:rPr>
        <w:t>c</w:t>
      </w:r>
      <w:r>
        <w:rPr>
          <w:sz w:val="24"/>
        </w:rPr>
        <w:t>＝2×0.0</w:t>
      </w:r>
      <w:r>
        <w:rPr>
          <w:rFonts w:hint="eastAsia"/>
          <w:sz w:val="24"/>
          <w:lang w:val="en-US" w:eastAsia="zh-CN"/>
        </w:rPr>
        <w:t>25</w:t>
      </w:r>
      <w:r>
        <w:rPr>
          <w:rFonts w:hint="eastAsia"/>
          <w:sz w:val="24"/>
        </w:rPr>
        <w:t>mm</w:t>
      </w:r>
      <w:r>
        <w:rPr>
          <w:sz w:val="24"/>
        </w:rPr>
        <w:t>＝0.0</w:t>
      </w:r>
      <w:r>
        <w:rPr>
          <w:rFonts w:hint="eastAsia"/>
          <w:sz w:val="24"/>
          <w:lang w:val="en-US" w:eastAsia="zh-CN"/>
        </w:rPr>
        <w:t>5</w:t>
      </w:r>
      <w:r>
        <w:rPr>
          <w:sz w:val="24"/>
        </w:rPr>
        <w:t>mm</w:t>
      </w:r>
    </w:p>
    <w:p>
      <w:pPr>
        <w:spacing w:line="360" w:lineRule="auto"/>
        <w:rPr>
          <w:sz w:val="24"/>
        </w:rPr>
      </w:pPr>
      <w:r>
        <w:rPr>
          <w:b/>
          <w:bCs/>
          <w:sz w:val="24"/>
        </w:rPr>
        <w:t xml:space="preserve">6、测量不确定度的报告与表示   </w:t>
      </w:r>
      <w:r>
        <w:rPr>
          <w:sz w:val="24"/>
        </w:rPr>
        <w:t xml:space="preserve">  </w:t>
      </w:r>
    </w:p>
    <w:p>
      <w:pPr>
        <w:spacing w:line="360" w:lineRule="auto"/>
        <w:ind w:left="780" w:firstLine="919" w:firstLineChars="383"/>
      </w:pPr>
      <w:r>
        <w:rPr>
          <w:i/>
          <w:sz w:val="24"/>
        </w:rPr>
        <w:t>U＝</w:t>
      </w:r>
      <w:r>
        <w:rPr>
          <w:sz w:val="24"/>
        </w:rPr>
        <w:t>0.0</w:t>
      </w:r>
      <w:r>
        <w:rPr>
          <w:rFonts w:hint="eastAsia"/>
          <w:sz w:val="24"/>
          <w:lang w:val="en-US" w:eastAsia="zh-CN"/>
        </w:rPr>
        <w:t>5</w:t>
      </w:r>
      <w:r>
        <w:rPr>
          <w:rFonts w:hint="eastAsia"/>
          <w:sz w:val="24"/>
        </w:rPr>
        <w:t>mm</w:t>
      </w:r>
      <w:r>
        <w:rPr>
          <w:sz w:val="24"/>
        </w:rPr>
        <w:t xml:space="preserve">  </w:t>
      </w:r>
      <w:r>
        <w:rPr>
          <w:i/>
          <w:kern w:val="0"/>
          <w:sz w:val="24"/>
        </w:rPr>
        <w:t>k</w:t>
      </w:r>
      <w:r>
        <w:rPr>
          <w:i/>
          <w:iCs/>
          <w:kern w:val="0"/>
          <w:sz w:val="24"/>
        </w:rPr>
        <w:t xml:space="preserve"> </w:t>
      </w:r>
      <w:r>
        <w:rPr>
          <w:kern w:val="0"/>
          <w:sz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E68966"/>
    <w:multiLevelType w:val="singleLevel"/>
    <w:tmpl w:val="5DE6896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227CDF"/>
    <w:rsid w:val="006E25D7"/>
    <w:rsid w:val="00B72BDD"/>
    <w:rsid w:val="00D60E80"/>
    <w:rsid w:val="00F55B64"/>
    <w:rsid w:val="029D4DA9"/>
    <w:rsid w:val="04444815"/>
    <w:rsid w:val="062619D7"/>
    <w:rsid w:val="0A9A5E74"/>
    <w:rsid w:val="0E2137A4"/>
    <w:rsid w:val="0EBC1312"/>
    <w:rsid w:val="10C76CC6"/>
    <w:rsid w:val="11DD0A90"/>
    <w:rsid w:val="12EE3904"/>
    <w:rsid w:val="150669D4"/>
    <w:rsid w:val="1581369B"/>
    <w:rsid w:val="18175742"/>
    <w:rsid w:val="183E7280"/>
    <w:rsid w:val="1B8F690F"/>
    <w:rsid w:val="218E3152"/>
    <w:rsid w:val="27725E1D"/>
    <w:rsid w:val="295E52F6"/>
    <w:rsid w:val="2AE46453"/>
    <w:rsid w:val="32FD5AF2"/>
    <w:rsid w:val="36184782"/>
    <w:rsid w:val="37A94C31"/>
    <w:rsid w:val="39983970"/>
    <w:rsid w:val="3DED5548"/>
    <w:rsid w:val="3E782D86"/>
    <w:rsid w:val="3F6A1D37"/>
    <w:rsid w:val="409F2474"/>
    <w:rsid w:val="45FE3658"/>
    <w:rsid w:val="462C7D91"/>
    <w:rsid w:val="47674205"/>
    <w:rsid w:val="49680B69"/>
    <w:rsid w:val="499A7F67"/>
    <w:rsid w:val="50E12BEE"/>
    <w:rsid w:val="51D71733"/>
    <w:rsid w:val="526747A8"/>
    <w:rsid w:val="57CC2099"/>
    <w:rsid w:val="5E6C67F7"/>
    <w:rsid w:val="5EFD54A6"/>
    <w:rsid w:val="5FBA6C7D"/>
    <w:rsid w:val="6001421E"/>
    <w:rsid w:val="6A764632"/>
    <w:rsid w:val="6D1A7968"/>
    <w:rsid w:val="6E9F7006"/>
    <w:rsid w:val="70E96CB3"/>
    <w:rsid w:val="78EB596B"/>
    <w:rsid w:val="7A7F2C28"/>
    <w:rsid w:val="7E0E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Words>
  <Characters>1158</Characters>
  <Lines>9</Lines>
  <Paragraphs>2</Paragraphs>
  <TotalTime>3</TotalTime>
  <ScaleCrop>false</ScaleCrop>
  <LinksUpToDate>false</LinksUpToDate>
  <CharactersWithSpaces>1359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2020-07-14T00:36:42Z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