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北京金鹰旭谱信息技术有限公司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rFonts w:hint="eastAsia"/>
                <w:b/>
                <w:sz w:val="20"/>
              </w:rPr>
            </w:pPr>
            <w:bookmarkStart w:id="5" w:name="专业代码"/>
            <w:r>
              <w:rPr>
                <w:rFonts w:hint="eastAsia"/>
                <w:b/>
                <w:sz w:val="20"/>
              </w:rPr>
              <w:t>29.09.01;</w:t>
            </w:r>
          </w:p>
          <w:p>
            <w:pPr>
              <w:snapToGrid w:val="0"/>
              <w:spacing w:line="280" w:lineRule="exact"/>
              <w:ind w:left="52"/>
              <w:jc w:val="center"/>
              <w:rPr>
                <w:b/>
                <w:sz w:val="20"/>
              </w:rPr>
            </w:pPr>
            <w:r>
              <w:rPr>
                <w:rFonts w:hint="eastAsia"/>
                <w:b/>
                <w:sz w:val="20"/>
              </w:rPr>
              <w:t>29.09.02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朱晓丽</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29.10.07</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杨杰</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r>
              <w:rPr>
                <w:rFonts w:hint="eastAsia"/>
                <w:b/>
                <w:sz w:val="20"/>
              </w:rPr>
              <w:t>29.09.01;29.09.02</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b/>
                <w:sz w:val="20"/>
              </w:rPr>
            </w:pPr>
            <w:r>
              <w:rPr>
                <w:rFonts w:hint="eastAsia"/>
                <w:b/>
                <w:sz w:val="20"/>
              </w:rPr>
              <w:t>客户需求—面对面服务—签订合同—采购—发货--验收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jc w:val="left"/>
              <w:rPr>
                <w:rFonts w:hint="eastAsia"/>
                <w:b/>
                <w:sz w:val="20"/>
              </w:rPr>
            </w:pPr>
            <w:r>
              <w:rPr>
                <w:rFonts w:hint="eastAsia"/>
                <w:b/>
                <w:sz w:val="20"/>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napToGrid w:val="0"/>
              <w:spacing w:line="280" w:lineRule="exact"/>
              <w:jc w:val="left"/>
              <w:rPr>
                <w:rFonts w:hint="eastAsia"/>
                <w:b/>
                <w:sz w:val="20"/>
              </w:rPr>
            </w:pPr>
            <w:r>
              <w:rPr>
                <w:rFonts w:hint="eastAsia"/>
                <w:b/>
                <w:sz w:val="20"/>
              </w:rPr>
              <w:t>通过内审、管评、目标考核等来评价风险和机遇应对措施的有效性。微信提供风险和机遇应对措施表，公司的风险和机遇识别、控制基本符合要求</w:t>
            </w:r>
          </w:p>
          <w:p>
            <w:pPr>
              <w:snapToGrid w:val="0"/>
              <w:spacing w:line="280" w:lineRule="exact"/>
              <w:jc w:val="left"/>
              <w:rPr>
                <w:rFonts w:hint="eastAsia"/>
                <w:b/>
                <w:sz w:val="20"/>
              </w:rPr>
            </w:pPr>
          </w:p>
          <w:p>
            <w:pPr>
              <w:snapToGrid w:val="0"/>
              <w:spacing w:line="280" w:lineRule="exact"/>
              <w:jc w:val="left"/>
              <w:rPr>
                <w:rFonts w:hint="default" w:eastAsia="宋体"/>
                <w:b/>
                <w:sz w:val="20"/>
                <w:lang w:val="en-US" w:eastAsia="zh-CN"/>
              </w:rPr>
            </w:pPr>
            <w:r>
              <w:rPr>
                <w:rFonts w:hint="eastAsia"/>
                <w:b/>
                <w:sz w:val="20"/>
              </w:rPr>
              <w:t>识别了需要确认的过程为销售服务，提供《特殊过程确认表》</w:t>
            </w:r>
            <w:r>
              <w:rPr>
                <w:rFonts w:hint="eastAsia"/>
                <w:b/>
                <w:sz w:val="20"/>
                <w:lang w:eastAsia="zh-CN"/>
              </w:rPr>
              <w:t>，</w:t>
            </w:r>
            <w:r>
              <w:rPr>
                <w:rFonts w:hint="eastAsia"/>
                <w:b/>
                <w:sz w:val="20"/>
              </w:rPr>
              <w:t>评估内容</w:t>
            </w:r>
            <w:r>
              <w:rPr>
                <w:rFonts w:hint="eastAsia"/>
                <w:b/>
                <w:sz w:val="20"/>
                <w:lang w:eastAsia="zh-CN"/>
              </w:rPr>
              <w:t>：</w:t>
            </w:r>
            <w:r>
              <w:rPr>
                <w:rFonts w:hint="eastAsia"/>
                <w:b/>
                <w:sz w:val="20"/>
              </w:rPr>
              <w:t>人员</w:t>
            </w:r>
            <w:r>
              <w:rPr>
                <w:rFonts w:hint="eastAsia"/>
                <w:b/>
                <w:sz w:val="20"/>
                <w:lang w:eastAsia="zh-CN"/>
              </w:rPr>
              <w:t>、</w:t>
            </w:r>
            <w:r>
              <w:rPr>
                <w:rFonts w:hint="eastAsia"/>
                <w:b/>
                <w:sz w:val="20"/>
              </w:rPr>
              <w:t>设备能力</w:t>
            </w:r>
            <w:r>
              <w:rPr>
                <w:rFonts w:hint="eastAsia"/>
                <w:b/>
                <w:sz w:val="20"/>
                <w:lang w:eastAsia="zh-CN"/>
              </w:rPr>
              <w:t>、</w:t>
            </w:r>
            <w:r>
              <w:rPr>
                <w:rFonts w:hint="eastAsia"/>
                <w:b/>
                <w:sz w:val="20"/>
              </w:rPr>
              <w:t>作业指导书</w:t>
            </w:r>
            <w:r>
              <w:rPr>
                <w:rFonts w:hint="eastAsia"/>
                <w:b/>
                <w:sz w:val="20"/>
                <w:lang w:eastAsia="zh-CN"/>
              </w:rPr>
              <w:t>、</w:t>
            </w:r>
            <w:r>
              <w:rPr>
                <w:rFonts w:hint="eastAsia"/>
                <w:b/>
                <w:sz w:val="20"/>
              </w:rPr>
              <w:t>工作环境</w:t>
            </w:r>
            <w:r>
              <w:rPr>
                <w:rFonts w:hint="eastAsia"/>
                <w:b/>
                <w:sz w:val="20"/>
                <w:lang w:val="en-US" w:eastAsia="zh-CN"/>
              </w:rPr>
              <w:t>等，符合要求。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center"/>
              <w:rPr>
                <w:b/>
                <w:sz w:val="20"/>
              </w:rPr>
            </w:pPr>
            <w:r>
              <w:rPr>
                <w:rFonts w:hint="eastAsia"/>
                <w:b/>
                <w:sz w:val="20"/>
              </w:rPr>
              <w:t>《中华人民共和国产品标准化法》、《中华人民共和国合同法》</w:t>
            </w:r>
            <w:r>
              <w:rPr>
                <w:rFonts w:hint="eastAsia"/>
                <w:b/>
                <w:sz w:val="20"/>
                <w:lang w:eastAsia="zh-CN"/>
              </w:rPr>
              <w:t>、GB/T 38058-2019民用多旋翼无人机系统试验方法CH/T 8023-2011机载激光雷达数据处理技术规范CH/T 3014-2014数字表面模型 机载激光雷达测量技术规程</w:t>
            </w:r>
            <w:r>
              <w:rPr>
                <w:rFonts w:hint="eastAsia"/>
                <w:b/>
                <w:sz w:val="20"/>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bookmarkStart w:id="6" w:name="_GoBack"/>
            <w:bookmarkEnd w:id="6"/>
            <w:r>
              <w:rPr>
                <w:rFonts w:hint="eastAsia"/>
                <w:b/>
                <w:sz w:val="20"/>
                <w:lang w:val="en-US" w:eastAsia="zh-CN"/>
              </w:rPr>
              <w:t>无</w:t>
            </w:r>
          </w:p>
        </w:tc>
      </w:tr>
    </w:tbl>
    <w:p>
      <w:pPr>
        <w:snapToGrid w:val="0"/>
        <w:rPr>
          <w:rFonts w:ascii="宋体"/>
          <w:b/>
          <w:sz w:val="22"/>
          <w:szCs w:val="22"/>
        </w:rPr>
      </w:pPr>
      <w:r>
        <w:drawing>
          <wp:anchor distT="0" distB="0" distL="114300" distR="114300" simplePos="0" relativeHeight="251661312" behindDoc="1" locked="0" layoutInCell="1" allowOverlap="1">
            <wp:simplePos x="0" y="0"/>
            <wp:positionH relativeFrom="column">
              <wp:posOffset>4592320</wp:posOffset>
            </wp:positionH>
            <wp:positionV relativeFrom="paragraph">
              <wp:posOffset>117475</wp:posOffset>
            </wp:positionV>
            <wp:extent cx="1019810" cy="480060"/>
            <wp:effectExtent l="0" t="0" r="8890" b="254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1019810" cy="48006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1127125</wp:posOffset>
            </wp:positionH>
            <wp:positionV relativeFrom="paragraph">
              <wp:posOffset>37465</wp:posOffset>
            </wp:positionV>
            <wp:extent cx="1019810" cy="480060"/>
            <wp:effectExtent l="0" t="0" r="8890" b="254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1019810" cy="480060"/>
                    </a:xfrm>
                    <a:prstGeom prst="rect">
                      <a:avLst/>
                    </a:prstGeom>
                    <a:noFill/>
                    <a:ln>
                      <a:noFill/>
                    </a:ln>
                  </pic:spPr>
                </pic:pic>
              </a:graphicData>
            </a:graphic>
          </wp:anchor>
        </w:drawing>
      </w:r>
    </w:p>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2020.7.5</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2020.7.5</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0964A2"/>
    <w:rsid w:val="72AD3D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locked/>
    <w:uiPriority w:val="99"/>
    <w:rPr>
      <w:rFonts w:ascii="Times New Roman" w:hAnsi="Times New Roman" w:eastAsia="宋体" w:cs="Times New Roman"/>
      <w:sz w:val="18"/>
      <w:szCs w:val="18"/>
    </w:rPr>
  </w:style>
  <w:style w:type="character" w:customStyle="1" w:styleId="8">
    <w:name w:val="页眉 字符"/>
    <w:link w:val="4"/>
    <w:locked/>
    <w:uiPriority w:val="99"/>
    <w:rPr>
      <w:rFonts w:ascii="Times New Roman" w:hAnsi="Times New Roman" w:eastAsia="宋体" w:cs="Times New Roman"/>
      <w:sz w:val="18"/>
      <w:szCs w:val="18"/>
    </w:rPr>
  </w:style>
  <w:style w:type="character" w:customStyle="1" w:styleId="9">
    <w:name w:val="批注框文本 字符"/>
    <w:link w:val="2"/>
    <w:semiHidden/>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acer</cp:lastModifiedBy>
  <dcterms:modified xsi:type="dcterms:W3CDTF">2020-07-08T01:45:28Z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