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9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上海科科阀门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1日 上午至2025年03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