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20145-2025-QE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贵州星耀桦科技有限公司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2025年02月22日 上午至2025年02月23日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贵州省贵阳市南明区梭草路26号2-5单元[油榨办事处]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贵州省贵阳市南明区梭草路26号2-5单元[油榨办事处]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