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李俐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2018-N1EMS-1222792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2018-N1OHSMS-1222792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2018-N1QMS-1222792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ISC[S]0008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郭力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E:实习审核员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Q:实习审核员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2020-N0EMS-1263290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2020-N0QMS-1263290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ISC[S]0372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河北锐博文教用品制造有限公司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河北省保定市唐县王京镇东安乐村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072350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河北省保定市唐县王京镇东安乐村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072350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河北省保定市唐县王京镇东安乐村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072350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窦英辉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13832244978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窦英辉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窦英辉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2020年07月13日 上午至2020年07月15日 上午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E：29.12.00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Q：29.12.00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