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4"/>
          <w:szCs w:val="24"/>
        </w:rPr>
        <w:t>0322-2020-QEO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新疆贝斯格办公家具有限公司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109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114"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472"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hint="eastAsia"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张鹏</w:t>
            </w:r>
          </w:p>
        </w:tc>
        <w:tc>
          <w:tcPr>
            <w:tcW w:w="1094"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p>
        </w:tc>
        <w:tc>
          <w:tcPr>
            <w:tcW w:w="111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男</w:t>
            </w:r>
          </w:p>
        </w:tc>
        <w:tc>
          <w:tcPr>
            <w:tcW w:w="3339"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hint="eastAsia" w:ascii="Times New Roman" w:hAnsi="Times New Roman" w:eastAsia="宋体" w:cs="Times New Roman"/>
                <w:kern w:val="2"/>
                <w:sz w:val="21"/>
                <w:szCs w:val="21"/>
                <w:lang w:val="en-US" w:eastAsia="zh-CN" w:bidi="ar-SA"/>
              </w:rPr>
            </w:pPr>
            <w:r>
              <w:rPr>
                <w:sz w:val="21"/>
                <w:szCs w:val="21"/>
              </w:rPr>
              <w:t>O:审核员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059"/>
        <w:gridCol w:w="1080"/>
        <w:gridCol w:w="282"/>
        <w:gridCol w:w="1597"/>
        <w:gridCol w:w="396"/>
        <w:gridCol w:w="128"/>
        <w:gridCol w:w="841"/>
        <w:gridCol w:w="7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80"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018" w:type="dxa"/>
            <w:gridSpan w:val="4"/>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新疆贝斯格办公家具有限公司</w:t>
            </w:r>
          </w:p>
        </w:tc>
        <w:tc>
          <w:tcPr>
            <w:tcW w:w="1365" w:type="dxa"/>
            <w:gridSpan w:val="3"/>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3" w:type="dxa"/>
            <w:gridSpan w:val="2"/>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6383" w:type="dxa"/>
            <w:gridSpan w:val="7"/>
            <w:vAlign w:val="top"/>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新疆乌鲁木齐市沙依巴克区西山兵团乌鲁木齐工业园区蔷薇一街5-4号</w:t>
            </w:r>
          </w:p>
        </w:tc>
        <w:tc>
          <w:tcPr>
            <w:tcW w:w="716"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bCs w:val="0"/>
                <w:color w:val="000000"/>
                <w:sz w:val="20"/>
                <w:szCs w:val="20"/>
              </w:rPr>
              <w:t>邮编</w:t>
            </w:r>
          </w:p>
        </w:tc>
        <w:tc>
          <w:tcPr>
            <w:tcW w:w="1297"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hAnsi="Times New Roman" w:eastAsia="宋体" w:cs="Times New Roman"/>
                <w:b w:val="0"/>
                <w:bCs/>
                <w:color w:val="000000"/>
                <w:kern w:val="2"/>
                <w:sz w:val="20"/>
                <w:szCs w:val="20"/>
                <w:lang w:val="en-US" w:eastAsia="zh-CN" w:bidi="ar-SA"/>
              </w:rPr>
            </w:pPr>
            <w:r>
              <w:rPr>
                <w:b w:val="0"/>
                <w:bCs/>
                <w:sz w:val="21"/>
                <w:szCs w:val="21"/>
              </w:rPr>
              <w:t>8300</w:t>
            </w:r>
            <w:r>
              <w:rPr>
                <w:rFonts w:hint="eastAsia"/>
                <w:b w:val="0"/>
                <w:bCs/>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6383" w:type="dxa"/>
            <w:gridSpan w:val="7"/>
            <w:vAlign w:val="top"/>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新疆乌鲁木齐市水磨沟区华凌市场B楼六楼D</w:t>
            </w:r>
            <w:r>
              <w:rPr>
                <w:rFonts w:hint="eastAsia" w:ascii="宋体"/>
                <w:b w:val="0"/>
                <w:bCs/>
                <w:color w:val="000000"/>
                <w:sz w:val="20"/>
                <w:szCs w:val="20"/>
                <w:lang w:val="en-US" w:eastAsia="zh-CN"/>
              </w:rPr>
              <w:t>-</w:t>
            </w:r>
            <w:r>
              <w:rPr>
                <w:rFonts w:hint="eastAsia" w:ascii="宋体"/>
                <w:b w:val="0"/>
                <w:bCs/>
                <w:color w:val="000000"/>
                <w:sz w:val="20"/>
                <w:szCs w:val="20"/>
                <w:lang w:eastAsia="zh-CN"/>
              </w:rPr>
              <w:t>18</w:t>
            </w:r>
            <w:r>
              <w:rPr>
                <w:rFonts w:hint="eastAsia" w:ascii="宋体"/>
                <w:b w:val="0"/>
                <w:bCs/>
                <w:color w:val="000000"/>
                <w:sz w:val="20"/>
                <w:szCs w:val="20"/>
                <w:lang w:val="en-US" w:eastAsia="zh-CN"/>
              </w:rPr>
              <w:t>-</w:t>
            </w:r>
            <w:r>
              <w:rPr>
                <w:rFonts w:hint="eastAsia" w:ascii="宋体"/>
                <w:b w:val="0"/>
                <w:bCs/>
                <w:color w:val="000000"/>
                <w:sz w:val="20"/>
                <w:szCs w:val="20"/>
                <w:lang w:eastAsia="zh-CN"/>
              </w:rPr>
              <w:t>3</w:t>
            </w:r>
          </w:p>
        </w:tc>
        <w:tc>
          <w:tcPr>
            <w:tcW w:w="716"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hAnsi="Times New Roman" w:eastAsia="宋体" w:cs="Times New Roman"/>
                <w:b w:val="0"/>
                <w:bCs/>
                <w:color w:val="000000"/>
                <w:kern w:val="2"/>
                <w:sz w:val="20"/>
                <w:szCs w:val="20"/>
                <w:lang w:val="en-US" w:eastAsia="zh-CN" w:bidi="ar-SA"/>
              </w:rPr>
            </w:pPr>
            <w:r>
              <w:rPr>
                <w:b w:val="0"/>
                <w:bCs/>
                <w:sz w:val="21"/>
                <w:szCs w:val="21"/>
              </w:rPr>
              <w:t>8300</w:t>
            </w:r>
            <w:r>
              <w:rPr>
                <w:rFonts w:hint="eastAsia"/>
                <w:b w:val="0"/>
                <w:bCs/>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059"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赵志伟</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b w:val="0"/>
                <w:bCs w:val="0"/>
                <w:sz w:val="21"/>
                <w:szCs w:val="21"/>
              </w:rPr>
              <w:t>13579981051</w:t>
            </w:r>
          </w:p>
        </w:tc>
        <w:tc>
          <w:tcPr>
            <w:tcW w:w="969"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3" w:type="dxa"/>
            <w:gridSpan w:val="2"/>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059" w:type="dxa"/>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赵志伟</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周玉可</w:t>
            </w:r>
          </w:p>
        </w:tc>
        <w:tc>
          <w:tcPr>
            <w:tcW w:w="969"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3" w:type="dxa"/>
            <w:gridSpan w:val="2"/>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Times New Roman" w:eastAsia="宋体" w:cs="Times New Roman"/>
                <w:b/>
                <w:color w:val="000000"/>
                <w:kern w:val="2"/>
                <w:sz w:val="20"/>
                <w:szCs w:val="20"/>
                <w:lang w:val="en-US" w:eastAsia="zh-CN" w:bidi="ar-SA"/>
              </w:rPr>
            </w:pPr>
            <w:r>
              <w:rPr>
                <w:rFonts w:hint="eastAsia"/>
                <w:b w:val="0"/>
                <w:bCs w:val="0"/>
                <w:sz w:val="18"/>
                <w:szCs w:val="18"/>
              </w:rPr>
              <w:t>gw006008@163.com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396" w:type="dxa"/>
            <w:gridSpan w:val="9"/>
          </w:tcPr>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bookmarkStart w:id="1" w:name="审核范围"/>
            <w:r>
              <w:rPr>
                <w:sz w:val="21"/>
                <w:szCs w:val="21"/>
              </w:rPr>
              <w:t>Q：</w:t>
            </w:r>
            <w:r>
              <w:rPr>
                <w:rFonts w:hint="eastAsia"/>
                <w:sz w:val="21"/>
                <w:szCs w:val="21"/>
                <w:lang w:eastAsia="zh-CN"/>
              </w:rPr>
              <w:t>金属家具、木质家具、不锈钢制品、密集架、保密柜、保险柜、文件柜</w:t>
            </w:r>
            <w:r>
              <w:rPr>
                <w:sz w:val="21"/>
                <w:szCs w:val="21"/>
              </w:rPr>
              <w:t>的销售</w:t>
            </w:r>
          </w:p>
          <w:p>
            <w:pPr>
              <w:keepNext w:val="0"/>
              <w:keepLines w:val="0"/>
              <w:pageBreakBefore w:val="0"/>
              <w:kinsoku/>
              <w:wordWrap/>
              <w:overflowPunct/>
              <w:topLinePunct w:val="0"/>
              <w:autoSpaceDE/>
              <w:autoSpaceDN/>
              <w:bidi w:val="0"/>
              <w:adjustRightInd/>
              <w:snapToGrid/>
              <w:spacing w:line="320" w:lineRule="exact"/>
              <w:textAlignment w:val="auto"/>
              <w:rPr>
                <w:sz w:val="21"/>
                <w:szCs w:val="21"/>
              </w:rPr>
            </w:pPr>
            <w:r>
              <w:rPr>
                <w:sz w:val="21"/>
                <w:szCs w:val="21"/>
              </w:rPr>
              <w:t>E：</w:t>
            </w:r>
            <w:r>
              <w:rPr>
                <w:rFonts w:hint="eastAsia"/>
                <w:sz w:val="21"/>
                <w:szCs w:val="21"/>
                <w:lang w:eastAsia="zh-CN"/>
              </w:rPr>
              <w:t>金属家具、木质家具、不锈钢制品、密集架、保密柜、保险柜、文件柜</w:t>
            </w:r>
            <w:r>
              <w:rPr>
                <w:sz w:val="21"/>
                <w:szCs w:val="21"/>
              </w:rPr>
              <w:t>的销售及相关环境管理活动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u w:val="single"/>
                <w:lang w:val="en-GB"/>
              </w:rPr>
            </w:pPr>
            <w:r>
              <w:rPr>
                <w:sz w:val="21"/>
                <w:szCs w:val="21"/>
              </w:rPr>
              <w:t>O：</w:t>
            </w:r>
            <w:r>
              <w:rPr>
                <w:rFonts w:hint="eastAsia"/>
                <w:sz w:val="21"/>
                <w:szCs w:val="21"/>
                <w:lang w:eastAsia="zh-CN"/>
              </w:rPr>
              <w:t>金属家具、木质家具、不锈钢制品、密集架、保密柜、保险柜、文件柜</w:t>
            </w:r>
            <w:r>
              <w:rPr>
                <w:sz w:val="21"/>
                <w:szCs w:val="21"/>
              </w:rPr>
              <w:t>的销售及相关职业健康安全管理活动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396" w:type="dxa"/>
            <w:gridSpan w:val="9"/>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bookmarkStart w:id="2"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2"/>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一体化审核</w:t>
            </w:r>
          </w:p>
        </w:tc>
        <w:tc>
          <w:tcPr>
            <w:tcW w:w="8396" w:type="dxa"/>
            <w:gridSpan w:val="9"/>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3139"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2019年10月25日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96"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行政部</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业务部</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1"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7"/>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3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9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407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val="0"/>
                <w:bCs w:val="0"/>
                <w:color w:val="000000" w:themeColor="text1"/>
                <w:sz w:val="21"/>
                <w:szCs w:val="21"/>
                <w:lang w:eastAsia="zh-CN"/>
              </w:rPr>
            </w:pPr>
            <w:r>
              <w:rPr>
                <w:rFonts w:hint="eastAsia"/>
                <w:b w:val="0"/>
                <w:bCs w:val="0"/>
                <w:sz w:val="21"/>
                <w:szCs w:val="21"/>
                <w:lang w:eastAsia="zh-CN"/>
              </w:rPr>
              <w:t>金属家具、木质家具、不锈钢制品、密集架、保密柜、保险柜、文件柜</w:t>
            </w:r>
            <w:r>
              <w:rPr>
                <w:b w:val="0"/>
                <w:bCs w:val="0"/>
                <w:sz w:val="21"/>
                <w:szCs w:val="21"/>
              </w:rPr>
              <w:t>的销售</w:t>
            </w:r>
          </w:p>
        </w:tc>
        <w:tc>
          <w:tcPr>
            <w:tcW w:w="13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销售</w:t>
            </w:r>
          </w:p>
        </w:tc>
        <w:tc>
          <w:tcPr>
            <w:tcW w:w="92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c>
          <w:tcPr>
            <w:tcW w:w="407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cs="宋体"/>
              </w:rPr>
              <w:t>管理方针：以质量求生存、以效益促发展、以服务稳市场</w:t>
            </w:r>
          </w:p>
          <w:p>
            <w:pPr>
              <w:ind w:firstLine="1260" w:firstLineChars="600"/>
              <w:rPr>
                <w:rFonts w:hint="eastAsia" w:eastAsia="宋体"/>
                <w:lang w:val="en-US" w:eastAsia="zh-CN"/>
              </w:rPr>
            </w:pPr>
            <w:r>
              <w:rPr>
                <w:rFonts w:hint="eastAsia" w:cs="宋体"/>
              </w:rPr>
              <w:t>以人为本、预防为主；遵纪守法、持续改进；创建人与自然和谐</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如客户需求波动较大，导致供货跟不上，由</w:t>
            </w:r>
            <w:r>
              <w:rPr>
                <w:rFonts w:hint="eastAsia"/>
                <w:lang w:val="en-US" w:eastAsia="zh-CN"/>
              </w:rPr>
              <w:t>业务部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行政部组织全体部门对所涉及的环境因素进行识别，并评价出重要环境因素，提供环境因素评价记录，目前环境因素识别基本完整，评价的重要环境因素有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行政部组织全体部门对所涉及的危险源进行识别，并评价出重大危险源，提供重大危险源评价记录，目前危险源识别基本完整，评价的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lang w:val="en-US" w:eastAsia="zh-CN"/>
              </w:rPr>
            </w:pPr>
            <w:r>
              <w:rPr>
                <w:rFonts w:hint="eastAsia" w:ascii="Times New Roman" w:hAnsi="Times New Roman" w:cs="宋体"/>
              </w:rPr>
              <w:t>公司</w:t>
            </w:r>
            <w:r>
              <w:rPr>
                <w:rFonts w:hint="eastAsia" w:cs="宋体"/>
                <w:lang w:val="en-US" w:eastAsia="zh-CN"/>
              </w:rPr>
              <w:t>目标：</w:t>
            </w:r>
          </w:p>
          <w:p>
            <w:r>
              <w:t>1、产品交付合格率98%以上</w:t>
            </w:r>
          </w:p>
          <w:p>
            <w:r>
              <w:t>2、顾客满意度90%以上</w:t>
            </w:r>
          </w:p>
          <w:p>
            <w:r>
              <w:t>3、火灾、触电事故为0</w:t>
            </w:r>
          </w:p>
          <w:p>
            <w:r>
              <w:t>4、产生的固体废物100%分类、收集</w:t>
            </w:r>
          </w:p>
          <w:p>
            <w:pPr>
              <w:rPr>
                <w:rFonts w:hint="eastAsia" w:ascii="Times New Roman" w:hAnsi="Times New Roman" w:cs="宋体"/>
                <w:lang w:eastAsia="zh-CN"/>
              </w:rPr>
            </w:pPr>
            <w:r>
              <w:t>5、</w:t>
            </w:r>
            <w:r>
              <w:rPr>
                <w:rFonts w:hint="eastAsia"/>
              </w:rPr>
              <w:t>重大交通责任事故发生率为0</w:t>
            </w:r>
            <w:r>
              <w:rPr>
                <w:rFonts w:hint="eastAsia" w:cs="宋体"/>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8</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4" w:name="生产地址"/>
            <w:r>
              <w:rPr>
                <w:rFonts w:asciiTheme="minorEastAsia" w:hAnsiTheme="minorEastAsia" w:eastAsiaTheme="minorEastAsia"/>
                <w:b w:val="0"/>
                <w:bCs w:val="0"/>
                <w:sz w:val="21"/>
                <w:szCs w:val="21"/>
              </w:rPr>
              <w:t>新疆</w:t>
            </w:r>
            <w:bookmarkEnd w:id="4"/>
            <w:r>
              <w:rPr>
                <w:rFonts w:asciiTheme="minorEastAsia" w:hAnsiTheme="minorEastAsia" w:eastAsiaTheme="minorEastAsia"/>
                <w:b w:val="0"/>
                <w:bCs w:val="0"/>
                <w:sz w:val="21"/>
                <w:szCs w:val="21"/>
              </w:rPr>
              <w:t>乌鲁木齐市水磨沟区华凌市场B楼六楼D</w:t>
            </w:r>
            <w:r>
              <w:rPr>
                <w:rFonts w:hint="eastAsia" w:asciiTheme="minorEastAsia" w:hAnsiTheme="minorEastAsia" w:eastAsiaTheme="minorEastAsia"/>
                <w:b w:val="0"/>
                <w:bCs w:val="0"/>
                <w:sz w:val="21"/>
                <w:szCs w:val="21"/>
                <w:lang w:val="en-US" w:eastAsia="zh-CN"/>
              </w:rPr>
              <w:t>-</w:t>
            </w:r>
            <w:r>
              <w:rPr>
                <w:rFonts w:asciiTheme="minorEastAsia" w:hAnsiTheme="minorEastAsia" w:eastAsiaTheme="minorEastAsia"/>
                <w:b w:val="0"/>
                <w:bCs w:val="0"/>
                <w:sz w:val="21"/>
                <w:szCs w:val="21"/>
              </w:rPr>
              <w:t>18</w:t>
            </w:r>
            <w:r>
              <w:rPr>
                <w:rFonts w:hint="eastAsia" w:asciiTheme="minorEastAsia" w:hAnsiTheme="minorEastAsia" w:eastAsiaTheme="minorEastAsia"/>
                <w:b w:val="0"/>
                <w:bCs w:val="0"/>
                <w:sz w:val="21"/>
                <w:szCs w:val="21"/>
                <w:lang w:val="en-US" w:eastAsia="zh-CN"/>
              </w:rPr>
              <w:t>-</w:t>
            </w:r>
            <w:r>
              <w:rPr>
                <w:rFonts w:asciiTheme="minorEastAsia" w:hAnsiTheme="minorEastAsia" w:eastAsiaTheme="minorEastAsia"/>
                <w:b w:val="0"/>
                <w:bCs w:val="0"/>
                <w:sz w:val="21"/>
                <w:szCs w:val="21"/>
              </w:rPr>
              <w:t>3</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rPr>
                <w:rFonts w:hint="eastAsia" w:cs="宋体"/>
              </w:rPr>
            </w:pPr>
            <w:r>
              <w:rPr>
                <w:rFonts w:hint="eastAsia" w:cs="宋体"/>
              </w:rPr>
              <w:t>管理方针：以质量求生存、以效益促发展、以服务稳市场</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rPr>
              <w:t>以人为本、预防为主；遵纪守法、持续改进；创建人与自然和谐</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业务部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rFonts w:hint="eastAsia"/>
                <w:b w:val="0"/>
                <w:bCs w:val="0"/>
                <w:sz w:val="21"/>
                <w:szCs w:val="21"/>
                <w:lang w:eastAsia="zh-CN"/>
              </w:rPr>
              <w:t>金属家具、木质家具、不锈钢制品、密集架、保密柜、保险柜、文件柜</w:t>
            </w:r>
            <w:r>
              <w:rPr>
                <w:rFonts w:hint="eastAsia"/>
                <w:sz w:val="21"/>
                <w:szCs w:val="21"/>
                <w:lang w:val="en-US" w:eastAsia="zh-CN"/>
              </w:rPr>
              <w:t>，</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rPr>
              <w:t xml:space="preserve">10. 对特种设备的维护，检定; </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20年3月24日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4</w:t>
            </w:r>
            <w:r>
              <w:rPr>
                <w:rFonts w:hint="eastAsia" w:cs="宋体"/>
              </w:rPr>
              <w:t>月</w:t>
            </w:r>
            <w:r>
              <w:rPr>
                <w:rFonts w:hint="eastAsia" w:cs="宋体"/>
                <w:lang w:val="en-US" w:eastAsia="zh-CN"/>
              </w:rPr>
              <w:t>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无职业病。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业务部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新疆贝斯格办公家具有限公司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val="0"/>
                <w:bCs w:val="0"/>
                <w:sz w:val="21"/>
                <w:szCs w:val="21"/>
              </w:rPr>
            </w:pPr>
            <w:r>
              <w:rPr>
                <w:b w:val="0"/>
                <w:bCs w:val="0"/>
                <w:sz w:val="21"/>
                <w:szCs w:val="21"/>
              </w:rPr>
              <w:t>Q：</w:t>
            </w:r>
            <w:r>
              <w:rPr>
                <w:rFonts w:hint="eastAsia"/>
                <w:b w:val="0"/>
                <w:bCs w:val="0"/>
                <w:sz w:val="21"/>
                <w:szCs w:val="21"/>
                <w:lang w:eastAsia="zh-CN"/>
              </w:rPr>
              <w:t>金属家具、木质家具、不锈钢制品、密集架、保密柜、保险柜、文件柜</w:t>
            </w:r>
            <w:r>
              <w:rPr>
                <w:b w:val="0"/>
                <w:bCs w:val="0"/>
                <w:sz w:val="21"/>
                <w:szCs w:val="21"/>
              </w:rPr>
              <w:t>的销售</w:t>
            </w:r>
          </w:p>
          <w:p>
            <w:pPr>
              <w:rPr>
                <w:b w:val="0"/>
                <w:bCs w:val="0"/>
                <w:sz w:val="21"/>
                <w:szCs w:val="21"/>
              </w:rPr>
            </w:pPr>
            <w:r>
              <w:rPr>
                <w:b w:val="0"/>
                <w:bCs w:val="0"/>
                <w:sz w:val="21"/>
                <w:szCs w:val="21"/>
              </w:rPr>
              <w:t>E：</w:t>
            </w:r>
            <w:r>
              <w:rPr>
                <w:rFonts w:hint="eastAsia"/>
                <w:b w:val="0"/>
                <w:bCs w:val="0"/>
                <w:sz w:val="21"/>
                <w:szCs w:val="21"/>
                <w:lang w:eastAsia="zh-CN"/>
              </w:rPr>
              <w:t>金属家具、木质家具、不锈钢制品、密集架、保密柜、保险柜、文件柜</w:t>
            </w:r>
            <w:r>
              <w:rPr>
                <w:b w:val="0"/>
                <w:bCs w:val="0"/>
                <w:sz w:val="21"/>
                <w:szCs w:val="21"/>
              </w:rPr>
              <w:t>的销售及相关环境管理活动</w:t>
            </w:r>
          </w:p>
          <w:p>
            <w:pPr>
              <w:rPr>
                <w:b w:val="0"/>
                <w:bCs w:val="0"/>
                <w:sz w:val="21"/>
                <w:szCs w:val="21"/>
              </w:rPr>
            </w:pPr>
            <w:r>
              <w:rPr>
                <w:b w:val="0"/>
                <w:bCs w:val="0"/>
                <w:sz w:val="21"/>
                <w:szCs w:val="21"/>
              </w:rPr>
              <w:t>O：</w:t>
            </w:r>
            <w:r>
              <w:rPr>
                <w:rFonts w:hint="eastAsia"/>
                <w:b w:val="0"/>
                <w:bCs w:val="0"/>
                <w:sz w:val="21"/>
                <w:szCs w:val="21"/>
                <w:lang w:eastAsia="zh-CN"/>
              </w:rPr>
              <w:t>金属家具、木质家具、不锈钢制品、密集架、保密柜、保险柜、文件柜</w:t>
            </w:r>
            <w:r>
              <w:rPr>
                <w:b w:val="0"/>
                <w:bCs w:val="0"/>
                <w:sz w:val="21"/>
                <w:szCs w:val="21"/>
              </w:rPr>
              <w:t>的销售及相关职业健康安全管理活动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hint="eastAsia" w:ascii="Times New Roman" w:hAnsi="Times New Roman" w:eastAsia="宋体" w:cs="Times New Roman"/>
          <w:b/>
          <w:color w:val="000000" w:themeColor="text1"/>
          <w:kern w:val="2"/>
          <w:sz w:val="26"/>
          <w:szCs w:val="26"/>
          <w:lang w:val="en-US" w:eastAsia="zh-CN" w:bidi="ar-SA"/>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w:t>
      </w:r>
      <w:r>
        <w:rPr>
          <w:rFonts w:hint="eastAsia"/>
          <w:b w:val="0"/>
          <w:bCs/>
          <w:color w:val="000000" w:themeColor="text1"/>
          <w:lang w:val="en-US" w:eastAsia="zh-CN"/>
        </w:rPr>
        <w:t>受疫情影响采取远程审核方式，审核发现受限</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r>
        <w:rPr>
          <w:rFonts w:ascii="宋体" w:hAnsi="宋体"/>
          <w:b/>
          <w:color w:val="000000"/>
        </w:rPr>
        <w:drawing>
          <wp:anchor distT="0" distB="0" distL="114300" distR="114300" simplePos="0" relativeHeight="251683840" behindDoc="0" locked="0" layoutInCell="1" allowOverlap="1">
            <wp:simplePos x="0" y="0"/>
            <wp:positionH relativeFrom="column">
              <wp:posOffset>1617345</wp:posOffset>
            </wp:positionH>
            <wp:positionV relativeFrom="paragraph">
              <wp:posOffset>164465</wp:posOffset>
            </wp:positionV>
            <wp:extent cx="906145" cy="384810"/>
            <wp:effectExtent l="0" t="0" r="8255" b="8890"/>
            <wp:wrapNone/>
            <wp:docPr id="5" name="图片 5" descr="250592e7e3a8e8f75a076c475f72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0592e7e3a8e8f75a076c475f72db9"/>
                    <pic:cNvPicPr>
                      <a:picLocks noChangeAspect="1"/>
                    </pic:cNvPicPr>
                  </pic:nvPicPr>
                  <pic:blipFill>
                    <a:blip r:embed="rId7"/>
                    <a:stretch>
                      <a:fillRect/>
                    </a:stretch>
                  </pic:blipFill>
                  <pic:spPr>
                    <a:xfrm>
                      <a:off x="0" y="0"/>
                      <a:ext cx="906145" cy="384810"/>
                    </a:xfrm>
                    <a:prstGeom prst="rect">
                      <a:avLst/>
                    </a:prstGeom>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numPr>
          <w:ilvl w:val="0"/>
          <w:numId w:val="0"/>
        </w:numPr>
        <w:spacing w:beforeLines="50" w:afterLines="50"/>
        <w:ind w:leftChars="-231"/>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numPr>
          <w:ilvl w:val="0"/>
          <w:numId w:val="0"/>
        </w:numPr>
        <w:spacing w:beforeLines="50" w:afterLines="5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napToGrid w:val="0"/>
        <w:spacing w:beforeLines="50" w:afterLines="50" w:line="360" w:lineRule="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12</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pStyle w:val="2"/>
        <w:rPr>
          <w:rFonts w:hint="eastAsia"/>
        </w:rPr>
      </w:pPr>
      <w:bookmarkStart w:id="6" w:name="_GoBack"/>
      <w:bookmarkEnd w:id="6"/>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5"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5"/>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0FBD207B"/>
    <w:rsid w:val="12DE6430"/>
    <w:rsid w:val="16390561"/>
    <w:rsid w:val="1C440198"/>
    <w:rsid w:val="21611269"/>
    <w:rsid w:val="22DF6A1C"/>
    <w:rsid w:val="3AFE3AFE"/>
    <w:rsid w:val="3C6210A8"/>
    <w:rsid w:val="3D5A52DA"/>
    <w:rsid w:val="41311C61"/>
    <w:rsid w:val="4A927D7E"/>
    <w:rsid w:val="4B4A3A22"/>
    <w:rsid w:val="4BA44912"/>
    <w:rsid w:val="4EBE37BE"/>
    <w:rsid w:val="57A97EAC"/>
    <w:rsid w:val="58BD1AE1"/>
    <w:rsid w:val="5A653F63"/>
    <w:rsid w:val="5CDD1C2D"/>
    <w:rsid w:val="5D9D17FB"/>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9</TotalTime>
  <ScaleCrop>false</ScaleCrop>
  <LinksUpToDate>false</LinksUpToDate>
  <CharactersWithSpaces>9674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2020-07-13T02:58:35Z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