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501"/>
        <w:gridCol w:w="1029"/>
        <w:gridCol w:w="1229"/>
        <w:gridCol w:w="1566"/>
        <w:gridCol w:w="1347"/>
        <w:gridCol w:w="17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夹江农副供销有限公司</w:t>
            </w:r>
            <w:bookmarkEnd w:id="3"/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5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Q：29.07.01;29.07.09;31.04.01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E：29.07.01;29.07.09;31.04.01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O：29.07.01;29.07.09;31.04.01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Q：29.07.01;29.07.09;31.04.01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E：29.07.01;29.07.09;31.04.01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O：29.07.01;29.07.09;31.04.01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网络视频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冉景州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Q:29.07.09,31.04.01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E:29.07.09,31.04.01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O:29.07.09,31.04.01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</w:rPr>
              <w:t>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客户订单--</w:t>
            </w:r>
            <w:r>
              <w:rPr>
                <w:rFonts w:hint="eastAsia"/>
              </w:rPr>
              <w:t>采购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验收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配送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顾客签收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需确认过程：销售过程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，也是关键过程。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采购、贮存、销售过程中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潜在火灾、固废排放</w:t>
            </w:r>
            <w:r>
              <w:rPr>
                <w:rFonts w:hint="eastAsia"/>
                <w:sz w:val="20"/>
                <w:lang w:eastAsia="zh-CN"/>
              </w:rPr>
              <w:t>、噪声排放</w:t>
            </w:r>
            <w:r>
              <w:rPr>
                <w:rFonts w:hint="eastAsia"/>
                <w:sz w:val="20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火灾，触电</w:t>
            </w:r>
            <w:r>
              <w:rPr>
                <w:rFonts w:hint="eastAsia"/>
                <w:sz w:val="20"/>
                <w:lang w:eastAsia="zh-CN"/>
              </w:rPr>
              <w:t>、交通事故</w:t>
            </w:r>
            <w:r>
              <w:rPr>
                <w:rFonts w:hint="eastAsia"/>
                <w:sz w:val="20"/>
              </w:rPr>
              <w:t>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中华人民共和国劳动合同法、中华人民共和国产品质量法、中华人民共和国计量法、中华人民共和国消费者权益保护法、欺诈消费者行为处罚办法食品安全国家标准 、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食品安全国家标准 食品中农药最大残留限量-GB 2763-2016；鲜(冻)畜肉卫生标准-GB 2707-2016；食品安全国家标准 鲜、冻动物性水产品-GB 2733-2015；水产品冷链物流服务规范-GB/T 31080-2014；水果和蔬菜 气调贮藏技术规范-GB/T 23244-2009；初级生鲜食品配送良好操作规范-SB/T 10428-2007；瓜类蔬菜流通规范-SB/T 11029-2013；大米-GB 1354-2018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大米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不完善粒含量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气味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色泽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水分含量，碎米，杂质，有机砷等；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食用油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酸价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过氧化值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，水份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及挥物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不溶性杂质等；</w:t>
            </w:r>
          </w:p>
          <w:p>
            <w:pPr>
              <w:pStyle w:val="2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蔬菜指标：感官（性状、水分等）、农药残留量等。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80645</wp:posOffset>
            </wp:positionV>
            <wp:extent cx="684530" cy="428625"/>
            <wp:effectExtent l="0" t="0" r="1270" b="133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1918970" y="917321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62230</wp:posOffset>
            </wp:positionV>
            <wp:extent cx="684530" cy="428625"/>
            <wp:effectExtent l="0" t="0" r="1270" b="1333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2020.7.7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2020.7.7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2503"/>
    <w:multiLevelType w:val="multilevel"/>
    <w:tmpl w:val="74A12503"/>
    <w:lvl w:ilvl="0" w:tentative="0">
      <w:start w:val="1"/>
      <w:numFmt w:val="decimal"/>
      <w:suff w:val="space"/>
      <w:lvlText w:val="%1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2835" w:firstLine="0"/>
      </w:pPr>
      <w:rPr>
        <w:rFonts w:hint="eastAsia"/>
      </w:rPr>
    </w:lvl>
    <w:lvl w:ilvl="2" w:tentative="0">
      <w:start w:val="1"/>
      <w:numFmt w:val="decimal"/>
      <w:pStyle w:val="10"/>
      <w:suff w:val="space"/>
      <w:lvlText w:val="%1.%2.%3 "/>
      <w:lvlJc w:val="left"/>
      <w:pPr>
        <w:ind w:left="0" w:firstLine="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2585"/>
        </w:tabs>
        <w:ind w:left="1133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370"/>
        </w:tabs>
        <w:ind w:left="170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155"/>
        </w:tabs>
        <w:ind w:left="240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300"/>
        </w:tabs>
        <w:ind w:left="297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85"/>
        </w:tabs>
        <w:ind w:left="354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71"/>
        </w:tabs>
        <w:ind w:left="425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3D7076"/>
    <w:rsid w:val="67C804CB"/>
    <w:rsid w:val="704F5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条标题（科宏）"/>
    <w:next w:val="1"/>
    <w:qFormat/>
    <w:uiPriority w:val="0"/>
    <w:pPr>
      <w:widowControl w:val="0"/>
      <w:numPr>
        <w:ilvl w:val="2"/>
        <w:numId w:val="1"/>
      </w:numPr>
      <w:spacing w:line="360" w:lineRule="auto"/>
      <w:jc w:val="both"/>
      <w:outlineLvl w:val="2"/>
    </w:pPr>
    <w:rPr>
      <w:rFonts w:ascii="Arial" w:hAnsi="Arial" w:eastAsia="仿宋_GB2312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2020-07-10T03:13:22Z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