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管理体系审核记录表（远程审核）</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42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bookmarkStart w:id="1" w:name="_GoBack" w:colFirst="2" w:colLast="3"/>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71" w:type="dxa"/>
            <w:gridSpan w:val="2"/>
            <w:vAlign w:val="center"/>
          </w:tcPr>
          <w:p>
            <w:pPr>
              <w:rPr>
                <w:sz w:val="24"/>
                <w:szCs w:val="24"/>
              </w:rPr>
            </w:pPr>
            <w:r>
              <w:rPr>
                <w:rFonts w:hint="eastAsia"/>
                <w:sz w:val="24"/>
                <w:szCs w:val="24"/>
              </w:rPr>
              <w:t>受审核部门：领导层</w:t>
            </w:r>
            <w:r>
              <w:rPr>
                <w:sz w:val="24"/>
                <w:szCs w:val="24"/>
              </w:rPr>
              <w:t xml:space="preserve">    </w:t>
            </w:r>
            <w:r>
              <w:rPr>
                <w:rFonts w:hint="eastAsia"/>
                <w:sz w:val="24"/>
                <w:szCs w:val="24"/>
              </w:rPr>
              <w:t xml:space="preserve">    陪同人员：</w:t>
            </w:r>
            <w:r>
              <w:rPr>
                <w:rFonts w:hint="eastAsia"/>
                <w:sz w:val="28"/>
              </w:rPr>
              <w:t>刘朦朦</w:t>
            </w:r>
          </w:p>
        </w:tc>
        <w:tc>
          <w:tcPr>
            <w:tcW w:w="141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171" w:type="dxa"/>
            <w:gridSpan w:val="2"/>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张磊（现场）</w:t>
            </w:r>
            <w:r>
              <w:rPr>
                <w:rFonts w:hint="eastAsia"/>
                <w:sz w:val="24"/>
                <w:szCs w:val="24"/>
              </w:rPr>
              <w:t>、李青</w:t>
            </w:r>
            <w:r>
              <w:rPr>
                <w:rFonts w:hint="eastAsia"/>
                <w:sz w:val="24"/>
                <w:szCs w:val="24"/>
                <w:lang w:eastAsia="zh-CN"/>
              </w:rPr>
              <w:t>（</w:t>
            </w:r>
            <w:r>
              <w:rPr>
                <w:rFonts w:hint="eastAsia"/>
                <w:sz w:val="24"/>
                <w:szCs w:val="24"/>
                <w:lang w:val="en-US" w:eastAsia="zh-CN"/>
              </w:rPr>
              <w:t>远程）</w:t>
            </w:r>
            <w:r>
              <w:rPr>
                <w:rFonts w:hint="eastAsia"/>
                <w:sz w:val="24"/>
                <w:szCs w:val="24"/>
              </w:rPr>
              <w:t xml:space="preserve">     审核日期：2020-07-</w:t>
            </w:r>
            <w:r>
              <w:rPr>
                <w:rFonts w:hint="eastAsia"/>
                <w:sz w:val="24"/>
                <w:szCs w:val="24"/>
                <w:lang w:val="en-US" w:eastAsia="zh-CN"/>
              </w:rPr>
              <w:t>5</w:t>
            </w:r>
          </w:p>
        </w:tc>
        <w:tc>
          <w:tcPr>
            <w:tcW w:w="1418" w:type="dxa"/>
            <w:vMerge w:val="continue"/>
          </w:tc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171" w:type="dxa"/>
            <w:gridSpan w:val="2"/>
            <w:vAlign w:val="center"/>
          </w:tcPr>
          <w:p>
            <w:pPr>
              <w:tabs>
                <w:tab w:val="left" w:pos="709"/>
              </w:tabs>
              <w:ind w:right="57"/>
              <w:jc w:val="left"/>
              <w:rPr>
                <w:szCs w:val="21"/>
              </w:rPr>
            </w:pPr>
            <w:r>
              <w:rPr>
                <w:rFonts w:hint="eastAsia"/>
                <w:sz w:val="24"/>
                <w:szCs w:val="24"/>
              </w:rPr>
              <w:t>审核条款：</w:t>
            </w:r>
            <w:r>
              <w:rPr>
                <w:rFonts w:hint="eastAsia"/>
                <w:szCs w:val="21"/>
              </w:rPr>
              <w:t xml:space="preserve">QMS：4.1 4.2 4.3 4.4 </w:t>
            </w:r>
            <w:r>
              <w:rPr>
                <w:szCs w:val="21"/>
              </w:rPr>
              <w:t>5.1</w:t>
            </w:r>
            <w:r>
              <w:rPr>
                <w:rFonts w:hint="eastAsia"/>
                <w:szCs w:val="21"/>
              </w:rPr>
              <w:t>,</w:t>
            </w:r>
            <w:r>
              <w:rPr>
                <w:szCs w:val="21"/>
              </w:rPr>
              <w:t>5.2</w:t>
            </w:r>
            <w:r>
              <w:rPr>
                <w:rFonts w:hint="eastAsia"/>
                <w:szCs w:val="21"/>
              </w:rPr>
              <w:t>,</w:t>
            </w:r>
            <w:r>
              <w:rPr>
                <w:szCs w:val="21"/>
              </w:rPr>
              <w:t>5.3</w:t>
            </w:r>
            <w:r>
              <w:rPr>
                <w:rFonts w:hint="eastAsia"/>
                <w:szCs w:val="21"/>
              </w:rPr>
              <w:t>,6.1,6.2,</w:t>
            </w:r>
            <w:r>
              <w:rPr>
                <w:szCs w:val="21"/>
              </w:rPr>
              <w:t>6.3</w:t>
            </w:r>
            <w:r>
              <w:rPr>
                <w:rFonts w:hint="eastAsia"/>
                <w:szCs w:val="21"/>
              </w:rPr>
              <w:t>,</w:t>
            </w:r>
            <w:r>
              <w:rPr>
                <w:szCs w:val="21"/>
              </w:rPr>
              <w:t>7</w:t>
            </w:r>
            <w:r>
              <w:rPr>
                <w:rFonts w:hint="eastAsia"/>
                <w:szCs w:val="21"/>
              </w:rPr>
              <w:t>.1.1,7.1.2,7.3,9.1.1，9.3，10.1,10.3</w:t>
            </w:r>
          </w:p>
          <w:p>
            <w:pPr>
              <w:tabs>
                <w:tab w:val="left" w:pos="709"/>
              </w:tabs>
              <w:ind w:right="57"/>
              <w:jc w:val="left"/>
              <w:rPr>
                <w:sz w:val="24"/>
                <w:szCs w:val="24"/>
              </w:rPr>
            </w:pP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理解组织及其环境</w:t>
            </w:r>
          </w:p>
        </w:tc>
        <w:tc>
          <w:tcPr>
            <w:tcW w:w="960" w:type="dxa"/>
            <w:vMerge w:val="restart"/>
          </w:tcPr>
          <w:p>
            <w:r>
              <w:rPr>
                <w:rFonts w:hint="eastAsia"/>
              </w:rPr>
              <w:t xml:space="preserve">Q4.1 </w:t>
            </w:r>
          </w:p>
        </w:tc>
        <w:tc>
          <w:tcPr>
            <w:tcW w:w="745" w:type="dxa"/>
          </w:tcPr>
          <w:p>
            <w:r>
              <w:rPr>
                <w:rFonts w:hint="eastAsia"/>
              </w:rPr>
              <w:t>文件名称</w:t>
            </w:r>
          </w:p>
        </w:tc>
        <w:tc>
          <w:tcPr>
            <w:tcW w:w="9426" w:type="dxa"/>
          </w:tcPr>
          <w:p>
            <w:r>
              <w:rPr>
                <w:rFonts w:hint="eastAsia"/>
              </w:rPr>
              <w:t>如：</w:t>
            </w:r>
            <w:r>
              <w:rPr>
                <w:rFonts w:hint="eastAsia"/>
              </w:rPr>
              <w:sym w:font="Wingdings" w:char="00FE"/>
            </w:r>
            <w:r>
              <w:rPr>
                <w:rFonts w:hint="eastAsia"/>
              </w:rPr>
              <w:t>《公司环境分析控制程序》、</w:t>
            </w:r>
            <w:r>
              <w:rPr>
                <w:rFonts w:hint="eastAsia"/>
              </w:rPr>
              <w:sym w:font="Wingdings" w:char="00FE"/>
            </w:r>
            <w:r>
              <w:rPr>
                <w:rFonts w:hint="eastAsia"/>
              </w:rPr>
              <w:t>管理手册第4.1章</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pPr>
              <w:rPr>
                <w:color w:val="000000"/>
                <w:szCs w:val="21"/>
              </w:rPr>
            </w:pPr>
            <w:r>
              <w:rPr>
                <w:rFonts w:hint="eastAsia"/>
                <w:color w:val="000000"/>
                <w:szCs w:val="21"/>
              </w:rPr>
              <w:t>与最高管理者沟通：</w:t>
            </w:r>
          </w:p>
          <w:p>
            <w:pPr>
              <w:rPr>
                <w:color w:val="000000"/>
                <w:szCs w:val="21"/>
              </w:rPr>
            </w:pPr>
            <w:r>
              <w:rPr>
                <w:rFonts w:hint="eastAsia"/>
                <w:color w:val="000000"/>
                <w:szCs w:val="21"/>
              </w:rPr>
              <w:t>组织的环境：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外部环境</w:t>
                  </w:r>
                </w:p>
              </w:tc>
              <w:tc>
                <w:tcPr>
                  <w:tcW w:w="7147" w:type="dxa"/>
                </w:tcPr>
                <w:p>
                  <w:r>
                    <w:rPr>
                      <w:rFonts w:hint="eastAsia"/>
                    </w:rPr>
                    <w:t>☑</w:t>
                  </w:r>
                  <w:r>
                    <w:rPr>
                      <w:rFonts w:hint="eastAsia" w:ascii="宋体" w:hAnsi="宋体" w:cs="宋体"/>
                      <w:color w:val="000000"/>
                      <w:kern w:val="0"/>
                      <w:sz w:val="20"/>
                    </w:rPr>
                    <w:t>政治因素</w:t>
                  </w:r>
                  <w:r>
                    <w:rPr>
                      <w:rFonts w:hint="eastAsia"/>
                    </w:rPr>
                    <w:t xml:space="preserve"> ☑</w:t>
                  </w:r>
                  <w:r>
                    <w:rPr>
                      <w:rFonts w:hint="eastAsia" w:ascii="宋体" w:hAnsi="宋体" w:cs="宋体"/>
                      <w:color w:val="000000"/>
                      <w:kern w:val="0"/>
                      <w:sz w:val="20"/>
                    </w:rPr>
                    <w:t>经济因素</w:t>
                  </w:r>
                  <w:r>
                    <w:rPr>
                      <w:rFonts w:hint="eastAsia"/>
                    </w:rPr>
                    <w:t xml:space="preserve"> ☑</w:t>
                  </w:r>
                  <w:r>
                    <w:rPr>
                      <w:rFonts w:hint="eastAsia" w:ascii="宋体" w:hAnsi="宋体" w:cs="宋体"/>
                      <w:color w:val="000000"/>
                      <w:kern w:val="0"/>
                      <w:sz w:val="20"/>
                    </w:rPr>
                    <w:t>社会因素</w:t>
                  </w:r>
                  <w:r>
                    <w:rPr>
                      <w:rFonts w:hint="eastAsia"/>
                    </w:rPr>
                    <w:t xml:space="preserve"> ☑</w:t>
                  </w:r>
                  <w:r>
                    <w:rPr>
                      <w:rFonts w:hint="eastAsia" w:ascii="宋体" w:hAnsi="宋体" w:cs="宋体"/>
                      <w:color w:val="000000"/>
                      <w:kern w:val="0"/>
                      <w:sz w:val="20"/>
                    </w:rPr>
                    <w:t>技术因素</w:t>
                  </w:r>
                  <w:r>
                    <w:rPr>
                      <w:rFonts w:hint="eastAsia"/>
                    </w:rPr>
                    <w:t xml:space="preserve"> ☑</w:t>
                  </w:r>
                  <w:r>
                    <w:rPr>
                      <w:rFonts w:hint="eastAsia" w:ascii="宋体" w:hAnsi="宋体" w:cs="宋体"/>
                      <w:color w:val="000000"/>
                      <w:kern w:val="0"/>
                      <w:sz w:val="20"/>
                    </w:rPr>
                    <w:t>法律法规因素</w:t>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列举主要的内容</w:t>
                  </w:r>
                </w:p>
              </w:tc>
              <w:tc>
                <w:tcPr>
                  <w:tcW w:w="7147" w:type="dxa"/>
                </w:tcPr>
                <w:p>
                  <w:r>
                    <w:rPr>
                      <w:rFonts w:hint="eastAsia"/>
                    </w:rPr>
                    <w:t>国家宏观经济政策、经济环境的变动，以及辖区对本企业的环保要求及检查力度要求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内部环境</w:t>
                  </w:r>
                </w:p>
              </w:tc>
              <w:tc>
                <w:tcPr>
                  <w:tcW w:w="7147" w:type="dxa"/>
                </w:tcPr>
                <w:p>
                  <w:r>
                    <w:rPr>
                      <w:rFonts w:hint="eastAsia"/>
                    </w:rPr>
                    <w:t>☑</w:t>
                  </w:r>
                  <w:r>
                    <w:rPr>
                      <w:rFonts w:hint="eastAsia" w:ascii="宋体" w:hAnsi="宋体" w:cs="宋体"/>
                      <w:color w:val="000000"/>
                      <w:kern w:val="0"/>
                      <w:sz w:val="20"/>
                    </w:rPr>
                    <w:t>企业文化</w:t>
                  </w:r>
                  <w:r>
                    <w:rPr>
                      <w:rFonts w:hint="eastAsia"/>
                    </w:rPr>
                    <w:t xml:space="preserve">  ☑</w:t>
                  </w:r>
                  <w:r>
                    <w:rPr>
                      <w:rFonts w:hint="eastAsia" w:ascii="宋体" w:hAnsi="宋体" w:cs="宋体"/>
                      <w:color w:val="000000"/>
                      <w:kern w:val="0"/>
                      <w:sz w:val="20"/>
                    </w:rPr>
                    <w:t>技术能力</w:t>
                  </w:r>
                  <w:r>
                    <w:rPr>
                      <w:rFonts w:hint="eastAsia"/>
                    </w:rPr>
                    <w:t xml:space="preserve">  ☑</w:t>
                  </w:r>
                  <w:r>
                    <w:rPr>
                      <w:rFonts w:ascii="宋体" w:hAnsi="宋体" w:cs="宋体"/>
                      <w:color w:val="000000"/>
                      <w:kern w:val="0"/>
                      <w:sz w:val="20"/>
                    </w:rPr>
                    <w:t>设备资源</w:t>
                  </w:r>
                  <w:r>
                    <w:rPr>
                      <w:rFonts w:hint="eastAsia"/>
                    </w:rPr>
                    <w:t xml:space="preserve"> ☑</w:t>
                  </w:r>
                  <w:r>
                    <w:rPr>
                      <w:rFonts w:hint="eastAsia" w:ascii="宋体" w:hAnsi="宋体" w:cs="宋体"/>
                      <w:color w:val="000000"/>
                      <w:kern w:val="0"/>
                      <w:sz w:val="20"/>
                    </w:rPr>
                    <w:t>人力环境</w:t>
                  </w:r>
                  <w:r>
                    <w:rPr>
                      <w:rFonts w:hint="eastAsia"/>
                    </w:rPr>
                    <w:t xml:space="preserve"> ☑</w:t>
                  </w:r>
                  <w:r>
                    <w:rPr>
                      <w:rFonts w:hint="eastAsia" w:ascii="宋体" w:hAnsi="宋体" w:cs="宋体"/>
                      <w:color w:val="000000"/>
                      <w:kern w:val="0"/>
                      <w:sz w:val="20"/>
                    </w:rPr>
                    <w:t>执行力</w:t>
                  </w:r>
                  <w:r>
                    <w:rPr>
                      <w:rFonts w:hint="eastAsia"/>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列举主要的内容</w:t>
                  </w:r>
                </w:p>
              </w:tc>
              <w:tc>
                <w:tcPr>
                  <w:tcW w:w="7147" w:type="dxa"/>
                </w:tcPr>
                <w:p>
                  <w:r>
                    <w:rPr>
                      <w:rFonts w:hint="eastAsia"/>
                    </w:rPr>
                    <w:t>部分环境因素的员工对环境产生的影响，收集处理装置及车间通风装置运转维护不足；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widowControl/>
                    <w:jc w:val="left"/>
                    <w:rPr>
                      <w:rFonts w:hint="eastAsia"/>
                      <w:szCs w:val="22"/>
                    </w:rPr>
                  </w:pPr>
                  <w:r>
                    <w:rPr>
                      <w:rFonts w:hint="eastAsia"/>
                      <w:szCs w:val="22"/>
                    </w:rPr>
                    <w:t>组织优势说明</w:t>
                  </w:r>
                </w:p>
              </w:tc>
              <w:tc>
                <w:tcPr>
                  <w:tcW w:w="7147" w:type="dxa"/>
                </w:tcPr>
                <w:p>
                  <w:pPr>
                    <w:widowControl/>
                    <w:jc w:val="left"/>
                    <w:rPr>
                      <w:rFonts w:hint="eastAsia"/>
                      <w:szCs w:val="22"/>
                    </w:rPr>
                  </w:pPr>
                  <w:r>
                    <w:rPr>
                      <w:rFonts w:hint="eastAsia"/>
                      <w:szCs w:val="22"/>
                    </w:rPr>
                    <w:t>公司环保资质及设施较为齐全，国家环保要求不断提高，小企业面临关闭，有利于产品销售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widowControl/>
                    <w:jc w:val="left"/>
                    <w:rPr>
                      <w:rFonts w:hint="eastAsia"/>
                      <w:szCs w:val="22"/>
                    </w:rPr>
                  </w:pPr>
                  <w:r>
                    <w:rPr>
                      <w:rFonts w:hint="eastAsia"/>
                      <w:szCs w:val="22"/>
                    </w:rPr>
                    <w:t>组织劣势说明</w:t>
                  </w:r>
                </w:p>
              </w:tc>
              <w:tc>
                <w:tcPr>
                  <w:tcW w:w="7147" w:type="dxa"/>
                </w:tcPr>
                <w:p>
                  <w:pPr>
                    <w:widowControl/>
                    <w:jc w:val="left"/>
                    <w:rPr>
                      <w:rFonts w:hint="eastAsia"/>
                      <w:szCs w:val="22"/>
                    </w:rPr>
                  </w:pPr>
                  <w:r>
                    <w:rPr>
                      <w:rFonts w:hint="eastAsia"/>
                      <w:szCs w:val="22"/>
                    </w:rPr>
                    <w:t>人员素质参差不齐，</w:t>
                  </w:r>
                  <w:r>
                    <w:rPr>
                      <w:rFonts w:hint="eastAsia"/>
                      <w:szCs w:val="22"/>
                      <w:lang w:val="en-US" w:eastAsia="zh-CN"/>
                    </w:rPr>
                    <w:t>质量</w:t>
                  </w:r>
                  <w:r>
                    <w:rPr>
                      <w:rFonts w:hint="eastAsia"/>
                      <w:szCs w:val="22"/>
                    </w:rPr>
                    <w:t>意识不强，对岗位</w:t>
                  </w:r>
                  <w:r>
                    <w:rPr>
                      <w:rFonts w:hint="eastAsia"/>
                      <w:szCs w:val="22"/>
                      <w:lang w:val="en-US" w:eastAsia="zh-CN"/>
                    </w:rPr>
                    <w:t>要求</w:t>
                  </w:r>
                  <w:r>
                    <w:rPr>
                      <w:rFonts w:hint="eastAsia"/>
                      <w:szCs w:val="22"/>
                    </w:rPr>
                    <w:t>认识不足，控制方法不明确；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color w:val="000000"/>
                      <w:szCs w:val="21"/>
                    </w:rPr>
                    <w:t>主要风险的说明</w:t>
                  </w:r>
                </w:p>
              </w:tc>
              <w:tc>
                <w:tcPr>
                  <w:tcW w:w="7147" w:type="dxa"/>
                </w:tcPr>
                <w:p>
                  <w:pPr>
                    <w:widowControl/>
                    <w:jc w:val="left"/>
                  </w:pPr>
                  <w:r>
                    <w:rPr>
                      <w:rFonts w:hint="eastAsia"/>
                    </w:rPr>
                    <w:t xml:space="preserve">1.对市场需要产品的发展趋势判断失误。                 </w:t>
                  </w:r>
                </w:p>
                <w:p>
                  <w:pPr>
                    <w:widowControl/>
                    <w:jc w:val="left"/>
                  </w:pPr>
                  <w:r>
                    <w:rPr>
                      <w:rFonts w:hint="eastAsia"/>
                    </w:rPr>
                    <w:t xml:space="preserve">2.客户要求识别不完整。      </w:t>
                  </w:r>
                </w:p>
                <w:p>
                  <w:r>
                    <w:rPr>
                      <w:rFonts w:hint="eastAsia"/>
                    </w:rPr>
                    <w:t>3.未能确保能够满足客户要求就签署合同。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color w:val="000000"/>
                      <w:szCs w:val="21"/>
                    </w:rPr>
                    <w:t>机遇的说明</w:t>
                  </w:r>
                </w:p>
              </w:tc>
              <w:tc>
                <w:tcPr>
                  <w:tcW w:w="7147" w:type="dxa"/>
                </w:tcPr>
                <w:p>
                  <w:pPr>
                    <w:widowControl/>
                    <w:jc w:val="left"/>
                    <w:rPr>
                      <w:rFonts w:hint="default" w:eastAsia="宋体"/>
                      <w:lang w:val="en-US" w:eastAsia="zh-CN"/>
                    </w:rPr>
                  </w:pPr>
                  <w:r>
                    <w:rPr>
                      <w:rFonts w:hint="eastAsia"/>
                      <w:lang w:val="en-US" w:eastAsia="zh-CN"/>
                    </w:rPr>
                    <w:t>企业资金充足，保障原材料质量达标</w:t>
                  </w:r>
                </w:p>
              </w:tc>
            </w:tr>
          </w:tbl>
          <w:p>
            <w:pPr>
              <w:rPr>
                <w:color w:val="000000"/>
                <w:szCs w:val="21"/>
              </w:rPr>
            </w:pPr>
          </w:p>
          <w:p>
            <w:r>
              <w:rPr>
                <w:rFonts w:hint="eastAsia"/>
                <w:color w:val="000000"/>
                <w:szCs w:val="21"/>
              </w:rPr>
              <w:t>主要证据体现在</w:t>
            </w:r>
            <w:r>
              <w:rPr>
                <w:rFonts w:hint="eastAsia"/>
              </w:rPr>
              <w:t xml:space="preserve"> </w:t>
            </w:r>
            <w:r>
              <w:rPr>
                <w:rFonts w:hint="eastAsia"/>
              </w:rPr>
              <w:sym w:font="Wingdings" w:char="00FE"/>
            </w:r>
            <w:r>
              <w:rPr>
                <w:rFonts w:hint="eastAsia"/>
              </w:rPr>
              <w:t>《风险和机遇评估分析表》</w:t>
            </w:r>
            <w:r>
              <w:rPr>
                <w:rFonts w:hint="eastAsia"/>
              </w:rPr>
              <w:sym w:font="Wingdings" w:char="00FE"/>
            </w:r>
            <w:r>
              <w:rPr>
                <w:rFonts w:hint="eastAsia"/>
              </w:rPr>
              <w:t>《风险和机遇识别与对策表》</w:t>
            </w:r>
          </w:p>
          <w:p>
            <w:pPr>
              <w:rPr>
                <w:color w:val="000000"/>
                <w:szCs w:val="21"/>
              </w:rPr>
            </w:pPr>
            <w:r>
              <w:rPr>
                <w:rFonts w:hint="eastAsia"/>
              </w:rPr>
              <w:t xml:space="preserve">          </w:t>
            </w: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理解相关方的需求和期望</w:t>
            </w:r>
          </w:p>
        </w:tc>
        <w:tc>
          <w:tcPr>
            <w:tcW w:w="960" w:type="dxa"/>
            <w:vMerge w:val="restart"/>
          </w:tcPr>
          <w:p>
            <w:r>
              <w:rPr>
                <w:rFonts w:hint="eastAsia"/>
              </w:rPr>
              <w:t xml:space="preserve">Q4.2 </w:t>
            </w:r>
          </w:p>
        </w:tc>
        <w:tc>
          <w:tcPr>
            <w:tcW w:w="745" w:type="dxa"/>
          </w:tcPr>
          <w:p>
            <w:r>
              <w:rPr>
                <w:rFonts w:hint="eastAsia"/>
              </w:rPr>
              <w:t>文件名称</w:t>
            </w:r>
          </w:p>
        </w:tc>
        <w:tc>
          <w:tcPr>
            <w:tcW w:w="9426" w:type="dxa"/>
          </w:tcPr>
          <w:p>
            <w:r>
              <w:rPr>
                <w:rFonts w:hint="eastAsia"/>
              </w:rPr>
              <w:t>如：</w:t>
            </w:r>
            <w:r>
              <w:rPr>
                <w:rFonts w:hint="eastAsia"/>
              </w:rPr>
              <w:sym w:font="Wingdings" w:char="00FE"/>
            </w:r>
            <w:r>
              <w:rPr>
                <w:rFonts w:hint="eastAsia"/>
              </w:rPr>
              <w:t>《相关方的需求和期望清单》</w:t>
            </w:r>
          </w:p>
          <w:p>
            <w:r>
              <w:rPr>
                <w:rFonts w:hint="eastAsia"/>
              </w:rPr>
              <w:t xml:space="preserve">   管理手册第4.2章  </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2"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pPr>
              <w:widowControl/>
              <w:jc w:val="center"/>
              <w:rPr>
                <w:rFonts w:ascii="宋体" w:hAnsi="宋体"/>
              </w:rPr>
            </w:pPr>
            <w:r>
              <w:rPr>
                <w:rFonts w:hint="eastAsia" w:ascii="宋体" w:hAnsi="宋体"/>
              </w:rPr>
              <w:t xml:space="preserve"> </w:t>
            </w:r>
          </w:p>
          <w:tbl>
            <w:tblPr>
              <w:tblStyle w:val="7"/>
              <w:tblW w:w="13658" w:type="dxa"/>
              <w:tblInd w:w="91" w:type="dxa"/>
              <w:tblLayout w:type="fixed"/>
              <w:tblCellMar>
                <w:top w:w="0" w:type="dxa"/>
                <w:left w:w="108" w:type="dxa"/>
                <w:bottom w:w="0" w:type="dxa"/>
                <w:right w:w="108" w:type="dxa"/>
              </w:tblCellMar>
            </w:tblPr>
            <w:tblGrid>
              <w:gridCol w:w="690"/>
              <w:gridCol w:w="1913"/>
              <w:gridCol w:w="3079"/>
              <w:gridCol w:w="3549"/>
              <w:gridCol w:w="2552"/>
              <w:gridCol w:w="1875"/>
            </w:tblGrid>
            <w:tr>
              <w:tblPrEx>
                <w:tblCellMar>
                  <w:top w:w="0" w:type="dxa"/>
                  <w:left w:w="108" w:type="dxa"/>
                  <w:bottom w:w="0" w:type="dxa"/>
                  <w:right w:w="108" w:type="dxa"/>
                </w:tblCellMar>
              </w:tblPrEx>
              <w:trPr>
                <w:trHeight w:val="780" w:hRule="atLeast"/>
              </w:trPr>
              <w:tc>
                <w:tcPr>
                  <w:tcW w:w="690"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rPr>
                  </w:pPr>
                  <w:r>
                    <w:rPr>
                      <w:rFonts w:hint="eastAsia" w:ascii="宋体" w:hAnsi="宋体"/>
                    </w:rPr>
                    <w:t>序号</w:t>
                  </w:r>
                </w:p>
              </w:tc>
              <w:tc>
                <w:tcPr>
                  <w:tcW w:w="1913" w:type="dxa"/>
                  <w:tcBorders>
                    <w:top w:val="nil"/>
                    <w:left w:val="nil"/>
                    <w:bottom w:val="nil"/>
                    <w:right w:val="single" w:color="auto" w:sz="4" w:space="0"/>
                  </w:tcBorders>
                  <w:shd w:val="clear" w:color="auto" w:fill="auto"/>
                  <w:noWrap/>
                  <w:vAlign w:val="center"/>
                </w:tcPr>
                <w:p>
                  <w:pPr>
                    <w:widowControl/>
                    <w:jc w:val="center"/>
                    <w:rPr>
                      <w:rFonts w:ascii="宋体" w:hAnsi="宋体"/>
                    </w:rPr>
                  </w:pPr>
                  <w:r>
                    <w:rPr>
                      <w:rFonts w:hint="eastAsia" w:ascii="宋体" w:hAnsi="宋体"/>
                    </w:rPr>
                    <w:t>相关方类型</w:t>
                  </w:r>
                </w:p>
              </w:tc>
              <w:tc>
                <w:tcPr>
                  <w:tcW w:w="3079" w:type="dxa"/>
                  <w:tcBorders>
                    <w:top w:val="nil"/>
                    <w:left w:val="nil"/>
                    <w:bottom w:val="nil"/>
                    <w:right w:val="single" w:color="auto" w:sz="4" w:space="0"/>
                  </w:tcBorders>
                  <w:shd w:val="clear" w:color="auto" w:fill="auto"/>
                  <w:noWrap/>
                  <w:vAlign w:val="center"/>
                </w:tcPr>
                <w:p>
                  <w:pPr>
                    <w:widowControl/>
                    <w:jc w:val="center"/>
                    <w:rPr>
                      <w:rFonts w:ascii="宋体" w:hAnsi="宋体"/>
                    </w:rPr>
                  </w:pPr>
                  <w:r>
                    <w:rPr>
                      <w:rFonts w:hint="eastAsia" w:ascii="宋体" w:hAnsi="宋体"/>
                    </w:rPr>
                    <w:t>需求和期望</w:t>
                  </w:r>
                </w:p>
              </w:tc>
              <w:tc>
                <w:tcPr>
                  <w:tcW w:w="3549" w:type="dxa"/>
                  <w:tcBorders>
                    <w:top w:val="nil"/>
                    <w:left w:val="nil"/>
                    <w:bottom w:val="nil"/>
                    <w:right w:val="single" w:color="auto" w:sz="4" w:space="0"/>
                  </w:tcBorders>
                  <w:shd w:val="clear" w:color="auto" w:fill="auto"/>
                  <w:noWrap/>
                  <w:vAlign w:val="center"/>
                </w:tcPr>
                <w:p>
                  <w:pPr>
                    <w:widowControl/>
                    <w:jc w:val="center"/>
                    <w:rPr>
                      <w:rFonts w:ascii="宋体" w:hAnsi="宋体"/>
                    </w:rPr>
                  </w:pPr>
                  <w:r>
                    <w:rPr>
                      <w:rFonts w:hint="eastAsia" w:ascii="宋体" w:hAnsi="宋体"/>
                    </w:rPr>
                    <w:t>监测指标或项目</w:t>
                  </w:r>
                </w:p>
              </w:tc>
              <w:tc>
                <w:tcPr>
                  <w:tcW w:w="2552" w:type="dxa"/>
                  <w:tcBorders>
                    <w:top w:val="nil"/>
                    <w:left w:val="nil"/>
                    <w:bottom w:val="nil"/>
                    <w:right w:val="single" w:color="auto" w:sz="4" w:space="0"/>
                  </w:tcBorders>
                  <w:shd w:val="clear" w:color="auto" w:fill="auto"/>
                  <w:noWrap/>
                  <w:vAlign w:val="center"/>
                </w:tcPr>
                <w:p>
                  <w:pPr>
                    <w:widowControl/>
                    <w:jc w:val="center"/>
                    <w:rPr>
                      <w:rFonts w:ascii="宋体" w:hAnsi="宋体"/>
                    </w:rPr>
                  </w:pPr>
                  <w:r>
                    <w:rPr>
                      <w:rFonts w:hint="eastAsia" w:ascii="宋体" w:hAnsi="宋体"/>
                    </w:rPr>
                    <w:t>监测频率</w:t>
                  </w:r>
                </w:p>
              </w:tc>
              <w:tc>
                <w:tcPr>
                  <w:tcW w:w="1875" w:type="dxa"/>
                  <w:tcBorders>
                    <w:top w:val="nil"/>
                    <w:left w:val="nil"/>
                    <w:bottom w:val="nil"/>
                    <w:right w:val="single" w:color="auto" w:sz="4" w:space="0"/>
                  </w:tcBorders>
                  <w:shd w:val="clear" w:color="auto" w:fill="auto"/>
                  <w:noWrap/>
                  <w:vAlign w:val="center"/>
                </w:tcPr>
                <w:p>
                  <w:pPr>
                    <w:widowControl/>
                    <w:jc w:val="center"/>
                    <w:rPr>
                      <w:rFonts w:ascii="宋体" w:hAnsi="宋体"/>
                    </w:rPr>
                  </w:pPr>
                  <w:r>
                    <w:rPr>
                      <w:rFonts w:hint="eastAsia" w:ascii="宋体" w:hAnsi="宋体"/>
                    </w:rPr>
                    <w:t>监测部门</w:t>
                  </w:r>
                </w:p>
              </w:tc>
            </w:tr>
            <w:tr>
              <w:tblPrEx>
                <w:tblCellMar>
                  <w:top w:w="0" w:type="dxa"/>
                  <w:left w:w="108" w:type="dxa"/>
                  <w:bottom w:w="0" w:type="dxa"/>
                  <w:right w:w="108" w:type="dxa"/>
                </w:tblCellMar>
              </w:tblPrEx>
              <w:trPr>
                <w:trHeight w:val="900" w:hRule="atLeast"/>
              </w:trPr>
              <w:tc>
                <w:tcPr>
                  <w:tcW w:w="69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rPr>
                  </w:pPr>
                  <w:r>
                    <w:rPr>
                      <w:rFonts w:hint="eastAsia" w:ascii="宋体" w:hAnsi="宋体"/>
                    </w:rPr>
                    <w:t>1</w:t>
                  </w:r>
                </w:p>
              </w:tc>
              <w:tc>
                <w:tcPr>
                  <w:tcW w:w="19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rPr>
                  </w:pPr>
                  <w:r>
                    <w:rPr>
                      <w:rFonts w:hint="eastAsia" w:ascii="宋体" w:hAnsi="宋体"/>
                    </w:rPr>
                    <w:t>顾客</w:t>
                  </w:r>
                </w:p>
              </w:tc>
              <w:tc>
                <w:tcPr>
                  <w:tcW w:w="30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rPr>
                  </w:pPr>
                  <w:r>
                    <w:rPr>
                      <w:rFonts w:hint="eastAsia" w:ascii="宋体" w:hAnsi="宋体"/>
                    </w:rPr>
                    <w:t>1、产品质量符合顾客要求                        2、及时交货                                      3、价格合理</w:t>
                  </w:r>
                </w:p>
              </w:tc>
              <w:tc>
                <w:tcPr>
                  <w:tcW w:w="354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rPr>
                  </w:pPr>
                  <w:r>
                    <w:rPr>
                      <w:rFonts w:hint="eastAsia" w:ascii="宋体" w:hAnsi="宋体"/>
                    </w:rPr>
                    <w:t>顾客满意度</w:t>
                  </w:r>
                </w:p>
              </w:tc>
              <w:tc>
                <w:tcPr>
                  <w:tcW w:w="25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rPr>
                  </w:pPr>
                  <w:r>
                    <w:rPr>
                      <w:rFonts w:hint="eastAsia" w:ascii="宋体" w:hAnsi="宋体"/>
                    </w:rPr>
                    <w:t>每半年一年</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rPr>
                  </w:pPr>
                  <w:r>
                    <w:rPr>
                      <w:rFonts w:hint="eastAsia" w:ascii="宋体" w:hAnsi="宋体"/>
                    </w:rPr>
                    <w:t>供销部</w:t>
                  </w:r>
                </w:p>
              </w:tc>
            </w:tr>
            <w:tr>
              <w:tblPrEx>
                <w:tblCellMar>
                  <w:top w:w="0" w:type="dxa"/>
                  <w:left w:w="108" w:type="dxa"/>
                  <w:bottom w:w="0" w:type="dxa"/>
                  <w:right w:w="108" w:type="dxa"/>
                </w:tblCellMar>
              </w:tblPrEx>
              <w:trPr>
                <w:trHeight w:val="780"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p>
              </w:tc>
              <w:tc>
                <w:tcPr>
                  <w:tcW w:w="191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p>
              </w:tc>
              <w:tc>
                <w:tcPr>
                  <w:tcW w:w="307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p>
              </w:tc>
              <w:tc>
                <w:tcPr>
                  <w:tcW w:w="35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rPr>
                  </w:pPr>
                  <w:r>
                    <w:rPr>
                      <w:rFonts w:hint="eastAsia" w:ascii="宋体" w:hAnsi="宋体"/>
                    </w:rPr>
                    <w:t>客户投诉率</w:t>
                  </w: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rPr>
                  </w:pPr>
                  <w:r>
                    <w:rPr>
                      <w:rFonts w:hint="eastAsia" w:ascii="宋体" w:hAnsi="宋体"/>
                    </w:rPr>
                    <w:t>每月/一次</w:t>
                  </w:r>
                </w:p>
              </w:tc>
              <w:tc>
                <w:tcPr>
                  <w:tcW w:w="18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rPr>
                  </w:pPr>
                  <w:r>
                    <w:rPr>
                      <w:rFonts w:hint="eastAsia" w:ascii="宋体" w:hAnsi="宋体"/>
                    </w:rPr>
                    <w:t>质检部</w:t>
                  </w:r>
                </w:p>
              </w:tc>
            </w:tr>
            <w:tr>
              <w:tblPrEx>
                <w:tblCellMar>
                  <w:top w:w="0" w:type="dxa"/>
                  <w:left w:w="108" w:type="dxa"/>
                  <w:bottom w:w="0" w:type="dxa"/>
                  <w:right w:w="108" w:type="dxa"/>
                </w:tblCellMar>
              </w:tblPrEx>
              <w:trPr>
                <w:trHeight w:val="840"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p>
              </w:tc>
              <w:tc>
                <w:tcPr>
                  <w:tcW w:w="191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p>
              </w:tc>
              <w:tc>
                <w:tcPr>
                  <w:tcW w:w="307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p>
              </w:tc>
              <w:tc>
                <w:tcPr>
                  <w:tcW w:w="35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rPr>
                  </w:pPr>
                  <w:r>
                    <w:rPr>
                      <w:rFonts w:hint="eastAsia" w:ascii="宋体" w:hAnsi="宋体"/>
                    </w:rPr>
                    <w:t>交期变更率</w:t>
                  </w: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rPr>
                  </w:pPr>
                  <w:r>
                    <w:rPr>
                      <w:rFonts w:hint="eastAsia" w:ascii="宋体" w:hAnsi="宋体"/>
                    </w:rPr>
                    <w:t>每月/一次</w:t>
                  </w:r>
                </w:p>
              </w:tc>
              <w:tc>
                <w:tcPr>
                  <w:tcW w:w="18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rPr>
                  </w:pPr>
                  <w:r>
                    <w:rPr>
                      <w:rFonts w:hint="eastAsia" w:ascii="宋体" w:hAnsi="宋体"/>
                    </w:rPr>
                    <w:t>采购/仓库</w:t>
                  </w:r>
                </w:p>
              </w:tc>
            </w:tr>
            <w:tr>
              <w:tblPrEx>
                <w:tblCellMar>
                  <w:top w:w="0" w:type="dxa"/>
                  <w:left w:w="108" w:type="dxa"/>
                  <w:bottom w:w="0" w:type="dxa"/>
                  <w:right w:w="108" w:type="dxa"/>
                </w:tblCellMar>
              </w:tblPrEx>
              <w:trPr>
                <w:trHeight w:val="840" w:hRule="atLeast"/>
              </w:trPr>
              <w:tc>
                <w:tcPr>
                  <w:tcW w:w="69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rPr>
                  </w:pPr>
                  <w:r>
                    <w:rPr>
                      <w:rFonts w:hint="eastAsia" w:ascii="宋体" w:hAnsi="宋体"/>
                    </w:rPr>
                    <w:t>2</w:t>
                  </w:r>
                </w:p>
              </w:tc>
              <w:tc>
                <w:tcPr>
                  <w:tcW w:w="191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rPr>
                  </w:pPr>
                  <w:r>
                    <w:rPr>
                      <w:rFonts w:hint="eastAsia" w:ascii="宋体" w:hAnsi="宋体"/>
                    </w:rPr>
                    <w:t>供方</w:t>
                  </w:r>
                </w:p>
              </w:tc>
              <w:tc>
                <w:tcPr>
                  <w:tcW w:w="30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rPr>
                  </w:pPr>
                  <w:r>
                    <w:rPr>
                      <w:rFonts w:hint="eastAsia" w:ascii="宋体" w:hAnsi="宋体"/>
                    </w:rPr>
                    <w:t>1、长期合作、双赢                              2、进料合格率高                               3、及时付款</w:t>
                  </w:r>
                </w:p>
              </w:tc>
              <w:tc>
                <w:tcPr>
                  <w:tcW w:w="3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rPr>
                  </w:pPr>
                  <w:r>
                    <w:rPr>
                      <w:rFonts w:hint="eastAsia" w:ascii="宋体" w:hAnsi="宋体"/>
                    </w:rPr>
                    <w:t>供应商年审核考评表</w:t>
                  </w: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rPr>
                  </w:pPr>
                  <w:r>
                    <w:rPr>
                      <w:rFonts w:hint="eastAsia" w:ascii="宋体" w:hAnsi="宋体"/>
                    </w:rPr>
                    <w:t>每年一次</w:t>
                  </w:r>
                </w:p>
              </w:tc>
              <w:tc>
                <w:tcPr>
                  <w:tcW w:w="18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rPr>
                  </w:pPr>
                  <w:r>
                    <w:rPr>
                      <w:rFonts w:hint="eastAsia" w:ascii="宋体" w:hAnsi="宋体"/>
                    </w:rPr>
                    <w:t>供销部</w:t>
                  </w:r>
                </w:p>
              </w:tc>
            </w:tr>
            <w:tr>
              <w:tblPrEx>
                <w:tblCellMar>
                  <w:top w:w="0" w:type="dxa"/>
                  <w:left w:w="108" w:type="dxa"/>
                  <w:bottom w:w="0" w:type="dxa"/>
                  <w:right w:w="108" w:type="dxa"/>
                </w:tblCellMar>
              </w:tblPrEx>
              <w:trPr>
                <w:trHeight w:val="1099" w:hRule="atLeast"/>
              </w:trPr>
              <w:tc>
                <w:tcPr>
                  <w:tcW w:w="69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rPr>
                  </w:pPr>
                </w:p>
              </w:tc>
              <w:tc>
                <w:tcPr>
                  <w:tcW w:w="191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rPr>
                  </w:pPr>
                </w:p>
              </w:tc>
              <w:tc>
                <w:tcPr>
                  <w:tcW w:w="307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rPr>
                  </w:pPr>
                </w:p>
              </w:tc>
              <w:tc>
                <w:tcPr>
                  <w:tcW w:w="35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rPr>
                  </w:pPr>
                  <w:r>
                    <w:rPr>
                      <w:rFonts w:hint="eastAsia" w:ascii="宋体" w:hAnsi="宋体"/>
                    </w:rPr>
                    <w:t>来料批数合格率</w:t>
                  </w: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rPr>
                  </w:pPr>
                  <w:r>
                    <w:rPr>
                      <w:rFonts w:hint="eastAsia" w:ascii="宋体" w:hAnsi="宋体"/>
                    </w:rPr>
                    <w:t>每月一次</w:t>
                  </w:r>
                </w:p>
              </w:tc>
              <w:tc>
                <w:tcPr>
                  <w:tcW w:w="18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rPr>
                  </w:pPr>
                  <w:r>
                    <w:rPr>
                      <w:rFonts w:hint="eastAsia" w:ascii="宋体" w:hAnsi="宋体"/>
                    </w:rPr>
                    <w:t>质检部</w:t>
                  </w:r>
                </w:p>
              </w:tc>
            </w:tr>
            <w:tr>
              <w:tblPrEx>
                <w:tblCellMar>
                  <w:top w:w="0" w:type="dxa"/>
                  <w:left w:w="108" w:type="dxa"/>
                  <w:bottom w:w="0" w:type="dxa"/>
                  <w:right w:w="108" w:type="dxa"/>
                </w:tblCellMar>
              </w:tblPrEx>
              <w:trPr>
                <w:trHeight w:val="960" w:hRule="atLeast"/>
              </w:trPr>
              <w:tc>
                <w:tcPr>
                  <w:tcW w:w="69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rPr>
                  </w:pPr>
                </w:p>
              </w:tc>
              <w:tc>
                <w:tcPr>
                  <w:tcW w:w="191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rPr>
                  </w:pPr>
                </w:p>
              </w:tc>
              <w:tc>
                <w:tcPr>
                  <w:tcW w:w="307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rPr>
                  </w:pPr>
                </w:p>
              </w:tc>
              <w:tc>
                <w:tcPr>
                  <w:tcW w:w="35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rPr>
                  </w:pPr>
                  <w:r>
                    <w:rPr>
                      <w:rFonts w:hint="eastAsia" w:ascii="宋体" w:hAnsi="宋体"/>
                    </w:rPr>
                    <w:t>货款月结</w:t>
                  </w: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rPr>
                  </w:pPr>
                  <w:r>
                    <w:rPr>
                      <w:rFonts w:hint="eastAsia" w:ascii="宋体" w:hAnsi="宋体"/>
                    </w:rPr>
                    <w:t>每月一次</w:t>
                  </w:r>
                </w:p>
              </w:tc>
              <w:tc>
                <w:tcPr>
                  <w:tcW w:w="18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rPr>
                  </w:pPr>
                  <w:r>
                    <w:rPr>
                      <w:rFonts w:hint="eastAsia" w:ascii="宋体" w:hAnsi="宋体"/>
                    </w:rPr>
                    <w:t>供销部</w:t>
                  </w:r>
                </w:p>
              </w:tc>
            </w:tr>
            <w:tr>
              <w:tblPrEx>
                <w:tblCellMar>
                  <w:top w:w="0" w:type="dxa"/>
                  <w:left w:w="108" w:type="dxa"/>
                  <w:bottom w:w="0" w:type="dxa"/>
                  <w:right w:w="108" w:type="dxa"/>
                </w:tblCellMar>
              </w:tblPrEx>
              <w:trPr>
                <w:trHeight w:val="1800" w:hRule="atLeast"/>
              </w:trPr>
              <w:tc>
                <w:tcPr>
                  <w:tcW w:w="6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rPr>
                  </w:pPr>
                  <w:r>
                    <w:rPr>
                      <w:rFonts w:hint="eastAsia" w:ascii="宋体" w:hAnsi="宋体"/>
                    </w:rPr>
                    <w:t>3</w:t>
                  </w:r>
                </w:p>
              </w:tc>
              <w:tc>
                <w:tcPr>
                  <w:tcW w:w="19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rPr>
                  </w:pPr>
                  <w:r>
                    <w:rPr>
                      <w:rFonts w:hint="eastAsia" w:ascii="宋体" w:hAnsi="宋体"/>
                    </w:rPr>
                    <w:t>员工</w:t>
                  </w:r>
                </w:p>
              </w:tc>
              <w:tc>
                <w:tcPr>
                  <w:tcW w:w="30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rPr>
                  </w:pPr>
                  <w:r>
                    <w:rPr>
                      <w:rFonts w:hint="eastAsia" w:ascii="宋体" w:hAnsi="宋体"/>
                    </w:rPr>
                    <w:t>1、薪资、福利增加           2、提供培训机会                 3、有一定的娱乐活动</w:t>
                  </w:r>
                </w:p>
              </w:tc>
              <w:tc>
                <w:tcPr>
                  <w:tcW w:w="35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rPr>
                  </w:pPr>
                  <w:r>
                    <w:rPr>
                      <w:rFonts w:hint="eastAsia" w:ascii="宋体" w:hAnsi="宋体"/>
                    </w:rPr>
                    <w:t>工资、加班工资及福利管理程序、培训对照表</w:t>
                  </w: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rPr>
                  </w:pPr>
                  <w:r>
                    <w:rPr>
                      <w:rFonts w:hint="eastAsia" w:ascii="宋体" w:hAnsi="宋体"/>
                    </w:rPr>
                    <w:t>每年一次</w:t>
                  </w:r>
                </w:p>
              </w:tc>
              <w:tc>
                <w:tcPr>
                  <w:tcW w:w="18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rPr>
                  </w:pPr>
                  <w:r>
                    <w:rPr>
                      <w:rFonts w:hint="eastAsia" w:ascii="宋体" w:hAnsi="宋体"/>
                    </w:rPr>
                    <w:t>综合部</w:t>
                  </w:r>
                </w:p>
              </w:tc>
            </w:tr>
            <w:tr>
              <w:tblPrEx>
                <w:tblCellMar>
                  <w:top w:w="0" w:type="dxa"/>
                  <w:left w:w="108" w:type="dxa"/>
                  <w:bottom w:w="0" w:type="dxa"/>
                  <w:right w:w="108" w:type="dxa"/>
                </w:tblCellMar>
              </w:tblPrEx>
              <w:trPr>
                <w:trHeight w:val="1140" w:hRule="atLeast"/>
              </w:trPr>
              <w:tc>
                <w:tcPr>
                  <w:tcW w:w="690"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rPr>
                  </w:pPr>
                  <w:r>
                    <w:rPr>
                      <w:rFonts w:hint="eastAsia" w:ascii="宋体" w:hAnsi="宋体"/>
                    </w:rPr>
                    <w:t>4</w:t>
                  </w:r>
                </w:p>
              </w:tc>
              <w:tc>
                <w:tcPr>
                  <w:tcW w:w="1913" w:type="dxa"/>
                  <w:tcBorders>
                    <w:top w:val="nil"/>
                    <w:left w:val="nil"/>
                    <w:bottom w:val="nil"/>
                    <w:right w:val="single" w:color="auto" w:sz="4" w:space="0"/>
                  </w:tcBorders>
                  <w:shd w:val="clear" w:color="auto" w:fill="auto"/>
                  <w:vAlign w:val="center"/>
                </w:tcPr>
                <w:p>
                  <w:pPr>
                    <w:widowControl/>
                    <w:jc w:val="center"/>
                    <w:rPr>
                      <w:rFonts w:ascii="宋体" w:hAnsi="宋体"/>
                    </w:rPr>
                  </w:pPr>
                  <w:r>
                    <w:rPr>
                      <w:rFonts w:hint="eastAsia" w:ascii="宋体" w:hAnsi="宋体"/>
                    </w:rPr>
                    <w:t>审核机构</w:t>
                  </w:r>
                </w:p>
              </w:tc>
              <w:tc>
                <w:tcPr>
                  <w:tcW w:w="3079" w:type="dxa"/>
                  <w:tcBorders>
                    <w:top w:val="nil"/>
                    <w:left w:val="nil"/>
                    <w:bottom w:val="nil"/>
                    <w:right w:val="single" w:color="auto" w:sz="4" w:space="0"/>
                  </w:tcBorders>
                  <w:shd w:val="clear" w:color="auto" w:fill="auto"/>
                  <w:vAlign w:val="center"/>
                </w:tcPr>
                <w:p>
                  <w:pPr>
                    <w:widowControl/>
                    <w:jc w:val="left"/>
                    <w:rPr>
                      <w:rFonts w:ascii="宋体" w:hAnsi="宋体"/>
                    </w:rPr>
                  </w:pPr>
                  <w:r>
                    <w:rPr>
                      <w:rFonts w:hint="eastAsia" w:ascii="宋体" w:hAnsi="宋体"/>
                    </w:rPr>
                    <w:t>公司体系运作的有效性、充分性和符合性</w:t>
                  </w:r>
                </w:p>
              </w:tc>
              <w:tc>
                <w:tcPr>
                  <w:tcW w:w="3549" w:type="dxa"/>
                  <w:tcBorders>
                    <w:top w:val="nil"/>
                    <w:left w:val="nil"/>
                    <w:bottom w:val="nil"/>
                    <w:right w:val="single" w:color="auto" w:sz="4" w:space="0"/>
                  </w:tcBorders>
                  <w:shd w:val="clear" w:color="auto" w:fill="auto"/>
                  <w:vAlign w:val="center"/>
                </w:tcPr>
                <w:p>
                  <w:pPr>
                    <w:widowControl/>
                    <w:jc w:val="center"/>
                    <w:rPr>
                      <w:rFonts w:ascii="宋体" w:hAnsi="宋体"/>
                    </w:rPr>
                  </w:pPr>
                  <w:r>
                    <w:rPr>
                      <w:rFonts w:hint="eastAsia" w:ascii="宋体" w:hAnsi="宋体"/>
                    </w:rPr>
                    <w:t>内审、外审、管理评审</w:t>
                  </w:r>
                </w:p>
              </w:tc>
              <w:tc>
                <w:tcPr>
                  <w:tcW w:w="2552" w:type="dxa"/>
                  <w:tcBorders>
                    <w:top w:val="nil"/>
                    <w:left w:val="nil"/>
                    <w:bottom w:val="nil"/>
                    <w:right w:val="single" w:color="auto" w:sz="4" w:space="0"/>
                  </w:tcBorders>
                  <w:shd w:val="clear" w:color="auto" w:fill="auto"/>
                  <w:noWrap/>
                  <w:vAlign w:val="center"/>
                </w:tcPr>
                <w:p>
                  <w:pPr>
                    <w:widowControl/>
                    <w:jc w:val="center"/>
                    <w:rPr>
                      <w:rFonts w:ascii="宋体" w:hAnsi="宋体"/>
                    </w:rPr>
                  </w:pPr>
                  <w:r>
                    <w:rPr>
                      <w:rFonts w:hint="eastAsia" w:ascii="宋体" w:hAnsi="宋体"/>
                    </w:rPr>
                    <w:t>每年一次</w:t>
                  </w:r>
                </w:p>
              </w:tc>
              <w:tc>
                <w:tcPr>
                  <w:tcW w:w="1875" w:type="dxa"/>
                  <w:tcBorders>
                    <w:top w:val="nil"/>
                    <w:left w:val="nil"/>
                    <w:bottom w:val="nil"/>
                    <w:right w:val="single" w:color="auto" w:sz="4" w:space="0"/>
                  </w:tcBorders>
                  <w:shd w:val="clear" w:color="auto" w:fill="auto"/>
                  <w:noWrap/>
                  <w:vAlign w:val="center"/>
                </w:tcPr>
                <w:p>
                  <w:pPr>
                    <w:widowControl/>
                    <w:jc w:val="center"/>
                    <w:rPr>
                      <w:rFonts w:ascii="宋体" w:hAnsi="宋体"/>
                    </w:rPr>
                  </w:pPr>
                  <w:r>
                    <w:rPr>
                      <w:rFonts w:hint="eastAsia" w:ascii="宋体" w:hAnsi="宋体"/>
                    </w:rPr>
                    <w:t>质检部</w:t>
                  </w:r>
                </w:p>
              </w:tc>
            </w:tr>
            <w:tr>
              <w:tblPrEx>
                <w:tblCellMar>
                  <w:top w:w="0" w:type="dxa"/>
                  <w:left w:w="108" w:type="dxa"/>
                  <w:bottom w:w="0" w:type="dxa"/>
                  <w:right w:w="108" w:type="dxa"/>
                </w:tblCellMar>
              </w:tblPrEx>
              <w:trPr>
                <w:trHeight w:val="720" w:hRule="atLeast"/>
              </w:trPr>
              <w:tc>
                <w:tcPr>
                  <w:tcW w:w="69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rPr>
                  </w:pPr>
                  <w:r>
                    <w:rPr>
                      <w:rFonts w:hint="eastAsia" w:ascii="宋体" w:hAnsi="宋体"/>
                    </w:rPr>
                    <w:t>5</w:t>
                  </w:r>
                </w:p>
              </w:tc>
              <w:tc>
                <w:tcPr>
                  <w:tcW w:w="191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rPr>
                  </w:pPr>
                  <w:r>
                    <w:rPr>
                      <w:rFonts w:hint="eastAsia" w:ascii="宋体" w:hAnsi="宋体"/>
                    </w:rPr>
                    <w:t>政府机构</w:t>
                  </w:r>
                </w:p>
              </w:tc>
              <w:tc>
                <w:tcPr>
                  <w:tcW w:w="307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rPr>
                  </w:pPr>
                  <w:r>
                    <w:rPr>
                      <w:rFonts w:hint="eastAsia" w:ascii="宋体" w:hAnsi="宋体"/>
                    </w:rPr>
                    <w:t>安全生产、环保生产、就业最大化、经营效益好</w:t>
                  </w:r>
                </w:p>
              </w:tc>
              <w:tc>
                <w:tcPr>
                  <w:tcW w:w="35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rPr>
                  </w:pPr>
                  <w:r>
                    <w:rPr>
                      <w:rFonts w:hint="eastAsia" w:ascii="宋体" w:hAnsi="宋体"/>
                    </w:rPr>
                    <w:t xml:space="preserve">安全标准化审核、         </w:t>
                  </w:r>
                </w:p>
              </w:tc>
              <w:tc>
                <w:tcPr>
                  <w:tcW w:w="25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rPr>
                  </w:pPr>
                  <w:r>
                    <w:rPr>
                      <w:rFonts w:hint="eastAsia" w:ascii="宋体" w:hAnsi="宋体"/>
                    </w:rPr>
                    <w:t>每年一次</w:t>
                  </w:r>
                </w:p>
              </w:tc>
              <w:tc>
                <w:tcPr>
                  <w:tcW w:w="187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rPr>
                  </w:pPr>
                  <w:r>
                    <w:rPr>
                      <w:rFonts w:hint="eastAsia" w:ascii="宋体" w:hAnsi="宋体"/>
                    </w:rPr>
                    <w:t>综合部</w:t>
                  </w:r>
                </w:p>
              </w:tc>
            </w:tr>
            <w:tr>
              <w:tblPrEx>
                <w:tblCellMar>
                  <w:top w:w="0" w:type="dxa"/>
                  <w:left w:w="108" w:type="dxa"/>
                  <w:bottom w:w="0" w:type="dxa"/>
                  <w:right w:w="108" w:type="dxa"/>
                </w:tblCellMar>
              </w:tblPrEx>
              <w:trPr>
                <w:trHeight w:val="600" w:hRule="atLeast"/>
              </w:trPr>
              <w:tc>
                <w:tcPr>
                  <w:tcW w:w="690"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rPr>
                  </w:pPr>
                </w:p>
              </w:tc>
              <w:tc>
                <w:tcPr>
                  <w:tcW w:w="1913"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rPr>
                  </w:pPr>
                </w:p>
              </w:tc>
              <w:tc>
                <w:tcPr>
                  <w:tcW w:w="3079"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rPr>
                  </w:pPr>
                </w:p>
              </w:tc>
              <w:tc>
                <w:tcPr>
                  <w:tcW w:w="35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rPr>
                  </w:pPr>
                  <w:r>
                    <w:rPr>
                      <w:rFonts w:hint="eastAsia" w:ascii="宋体" w:hAnsi="宋体"/>
                    </w:rPr>
                    <w:t>工伤事故考核</w:t>
                  </w: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rPr>
                  </w:pPr>
                  <w:r>
                    <w:rPr>
                      <w:rFonts w:hint="eastAsia" w:ascii="宋体" w:hAnsi="宋体"/>
                    </w:rPr>
                    <w:t>每月一次</w:t>
                  </w:r>
                </w:p>
              </w:tc>
              <w:tc>
                <w:tcPr>
                  <w:tcW w:w="1875" w:type="dxa"/>
                  <w:tcBorders>
                    <w:top w:val="nil"/>
                    <w:left w:val="nil"/>
                    <w:bottom w:val="single" w:color="auto" w:sz="4" w:space="0"/>
                    <w:right w:val="single" w:color="auto" w:sz="4" w:space="0"/>
                  </w:tcBorders>
                  <w:shd w:val="clear" w:color="auto" w:fill="auto"/>
                  <w:noWrap/>
                </w:tcPr>
                <w:p>
                  <w:pPr>
                    <w:widowControl/>
                    <w:jc w:val="center"/>
                    <w:rPr>
                      <w:rFonts w:ascii="宋体" w:hAnsi="宋体"/>
                    </w:rPr>
                  </w:pPr>
                  <w:r>
                    <w:rPr>
                      <w:rFonts w:hint="eastAsia" w:ascii="宋体" w:hAnsi="宋体"/>
                    </w:rPr>
                    <w:t>综合部</w:t>
                  </w:r>
                </w:p>
              </w:tc>
            </w:tr>
            <w:tr>
              <w:tblPrEx>
                <w:tblCellMar>
                  <w:top w:w="0" w:type="dxa"/>
                  <w:left w:w="108" w:type="dxa"/>
                  <w:bottom w:w="0" w:type="dxa"/>
                  <w:right w:w="108" w:type="dxa"/>
                </w:tblCellMar>
              </w:tblPrEx>
              <w:trPr>
                <w:trHeight w:val="600" w:hRule="atLeast"/>
              </w:trPr>
              <w:tc>
                <w:tcPr>
                  <w:tcW w:w="690"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rPr>
                  </w:pPr>
                </w:p>
              </w:tc>
              <w:tc>
                <w:tcPr>
                  <w:tcW w:w="1913"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rPr>
                  </w:pPr>
                </w:p>
              </w:tc>
              <w:tc>
                <w:tcPr>
                  <w:tcW w:w="3079"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rPr>
                  </w:pPr>
                </w:p>
              </w:tc>
              <w:tc>
                <w:tcPr>
                  <w:tcW w:w="35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rPr>
                  </w:pPr>
                  <w:r>
                    <w:rPr>
                      <w:rFonts w:hint="eastAsia" w:ascii="宋体" w:hAnsi="宋体"/>
                    </w:rPr>
                    <w:t>效益</w:t>
                  </w:r>
                </w:p>
              </w:tc>
              <w:tc>
                <w:tcPr>
                  <w:tcW w:w="2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rPr>
                  </w:pPr>
                  <w:r>
                    <w:rPr>
                      <w:rFonts w:hint="eastAsia" w:ascii="宋体" w:hAnsi="宋体"/>
                    </w:rPr>
                    <w:t>每年一次</w:t>
                  </w:r>
                </w:p>
              </w:tc>
              <w:tc>
                <w:tcPr>
                  <w:tcW w:w="1875" w:type="dxa"/>
                  <w:tcBorders>
                    <w:top w:val="nil"/>
                    <w:left w:val="nil"/>
                    <w:bottom w:val="single" w:color="auto" w:sz="4" w:space="0"/>
                    <w:right w:val="single" w:color="auto" w:sz="4" w:space="0"/>
                  </w:tcBorders>
                  <w:shd w:val="clear" w:color="auto" w:fill="auto"/>
                  <w:noWrap/>
                </w:tcPr>
                <w:p>
                  <w:pPr>
                    <w:widowControl/>
                    <w:jc w:val="center"/>
                    <w:rPr>
                      <w:rFonts w:ascii="宋体" w:hAnsi="宋体"/>
                    </w:rPr>
                  </w:pPr>
                  <w:r>
                    <w:rPr>
                      <w:rFonts w:hint="eastAsia" w:ascii="宋体" w:hAnsi="宋体"/>
                    </w:rPr>
                    <w:t>综合部</w:t>
                  </w:r>
                </w:p>
              </w:tc>
            </w:tr>
          </w:tbl>
          <w:p>
            <w:pPr>
              <w:widowControl/>
              <w:jc w:val="center"/>
              <w:rPr>
                <w:rFonts w:ascii="宋体" w:hAnsi="宋体"/>
              </w:rPr>
            </w:pPr>
          </w:p>
          <w:p>
            <w:pPr>
              <w:widowControl/>
              <w:jc w:val="center"/>
              <w:rPr>
                <w:rFonts w:ascii="宋体" w:hAnsi="宋体"/>
              </w:rPr>
            </w:pPr>
            <w:r>
              <w:rPr>
                <w:rFonts w:hint="eastAsia" w:ascii="宋体" w:hAnsi="宋体"/>
              </w:rPr>
              <w:t xml:space="preserve">主要证据体现在 </w:t>
            </w:r>
            <w:r>
              <w:rPr>
                <w:rFonts w:hint="eastAsia" w:ascii="宋体" w:hAnsi="宋体"/>
              </w:rPr>
              <w:sym w:font="Wingdings" w:char="00FE"/>
            </w:r>
            <w:r>
              <w:rPr>
                <w:rFonts w:hint="eastAsia" w:ascii="宋体" w:hAnsi="宋体"/>
              </w:rPr>
              <w:t xml:space="preserve">《相关方的需求和期望清单》  </w:t>
            </w:r>
            <w:r>
              <w:rPr>
                <w:rFonts w:hint="eastAsia" w:ascii="宋体" w:hAnsi="宋体"/>
              </w:rPr>
              <w:sym w:font="Wingdings" w:char="00A8"/>
            </w:r>
            <w:r>
              <w:rPr>
                <w:rFonts w:hint="eastAsia" w:ascii="宋体" w:hAnsi="宋体"/>
              </w:rPr>
              <w:t xml:space="preserve">《年度业务计划》 </w:t>
            </w:r>
            <w:r>
              <w:rPr>
                <w:rFonts w:hint="eastAsia" w:ascii="宋体" w:hAnsi="宋体"/>
              </w:rPr>
              <w:sym w:font="Wingdings" w:char="00A8"/>
            </w:r>
            <w:r>
              <w:rPr>
                <w:rFonts w:hint="eastAsia" w:ascii="宋体" w:hAnsi="宋体"/>
              </w:rPr>
              <w:t>其他</w:t>
            </w: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确定质量管理体系的范围</w:t>
            </w:r>
          </w:p>
        </w:tc>
        <w:tc>
          <w:tcPr>
            <w:tcW w:w="960" w:type="dxa"/>
            <w:vMerge w:val="restart"/>
          </w:tcPr>
          <w:p>
            <w:r>
              <w:rPr>
                <w:rFonts w:hint="eastAsia"/>
              </w:rPr>
              <w:t>Q4.3</w:t>
            </w:r>
          </w:p>
        </w:tc>
        <w:tc>
          <w:tcPr>
            <w:tcW w:w="745" w:type="dxa"/>
          </w:tcPr>
          <w:p>
            <w:r>
              <w:rPr>
                <w:rFonts w:hint="eastAsia"/>
              </w:rPr>
              <w:t>文件名称</w:t>
            </w:r>
          </w:p>
        </w:tc>
        <w:tc>
          <w:tcPr>
            <w:tcW w:w="9426" w:type="dxa"/>
          </w:tcPr>
          <w:p>
            <w:pPr>
              <w:widowControl/>
              <w:jc w:val="center"/>
              <w:rPr>
                <w:rFonts w:ascii="宋体" w:hAnsi="宋体"/>
              </w:rPr>
            </w:pPr>
            <w:r>
              <w:rPr>
                <w:rFonts w:hint="eastAsia" w:ascii="宋体" w:hAnsi="宋体"/>
              </w:rPr>
              <w:t>如：</w:t>
            </w:r>
            <w:r>
              <w:rPr>
                <w:rFonts w:hint="eastAsia" w:ascii="宋体" w:hAnsi="宋体"/>
              </w:rPr>
              <w:sym w:font="Wingdings" w:char="00FE"/>
            </w:r>
            <w:r>
              <w:rPr>
                <w:rFonts w:hint="eastAsia" w:ascii="宋体" w:hAnsi="宋体"/>
              </w:rPr>
              <w:t>管理手册第4.3章和</w:t>
            </w:r>
            <w:r>
              <w:rPr>
                <w:rFonts w:hint="eastAsia" w:ascii="宋体" w:hAnsi="宋体"/>
              </w:rPr>
              <w:sym w:font="Wingdings" w:char="00FE"/>
            </w:r>
            <w:r>
              <w:rPr>
                <w:rFonts w:hint="eastAsia" w:ascii="宋体" w:hAnsi="宋体"/>
              </w:rPr>
              <w:t>0.4“公司概况”</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pPr>
              <w:widowControl/>
              <w:jc w:val="center"/>
              <w:rPr>
                <w:rFonts w:ascii="宋体" w:hAnsi="宋体"/>
              </w:rPr>
            </w:pPr>
            <w:r>
              <w:rPr>
                <w:rFonts w:hint="eastAsia" w:ascii="宋体" w:hAnsi="宋体"/>
              </w:rPr>
              <w:t>组织应明确相关管理体系的范围；</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widowControl/>
                    <w:jc w:val="center"/>
                    <w:rPr>
                      <w:rFonts w:ascii="宋体" w:hAnsi="宋体"/>
                    </w:rPr>
                  </w:pPr>
                  <w:r>
                    <w:rPr>
                      <w:rFonts w:hint="eastAsia" w:ascii="宋体" w:hAnsi="宋体"/>
                    </w:rPr>
                    <w:t>范围的项目</w:t>
                  </w:r>
                </w:p>
              </w:tc>
              <w:tc>
                <w:tcPr>
                  <w:tcW w:w="7132" w:type="dxa"/>
                </w:tcPr>
                <w:p>
                  <w:pPr>
                    <w:widowControl/>
                    <w:jc w:val="left"/>
                    <w:rPr>
                      <w:rFonts w:ascii="宋体" w:hAnsi="宋体"/>
                    </w:rPr>
                  </w:pPr>
                  <w:r>
                    <w:rPr>
                      <w:rFonts w:hint="eastAsia" w:ascii="宋体" w:hAnsi="宋体"/>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widowControl/>
                    <w:jc w:val="center"/>
                    <w:rPr>
                      <w:rFonts w:ascii="宋体" w:hAnsi="宋体"/>
                    </w:rPr>
                  </w:pPr>
                  <w:r>
                    <w:rPr>
                      <w:rFonts w:hint="eastAsia" w:ascii="宋体" w:hAnsi="宋体"/>
                    </w:rPr>
                    <w:t>产品/服务的活动</w:t>
                  </w:r>
                </w:p>
              </w:tc>
              <w:tc>
                <w:tcPr>
                  <w:tcW w:w="7132" w:type="dxa"/>
                </w:tcPr>
                <w:p>
                  <w:pPr>
                    <w:widowControl/>
                    <w:jc w:val="left"/>
                    <w:rPr>
                      <w:rFonts w:ascii="宋体" w:hAnsi="宋体"/>
                    </w:rPr>
                  </w:pPr>
                  <w:r>
                    <w:rPr>
                      <w:rFonts w:hint="eastAsia"/>
                      <w:szCs w:val="21"/>
                      <w:u w:val="single"/>
                    </w:rPr>
                    <w:t>生产、销售：食品；种植、销售：粮食、果品、蔬菜；销售：冷鲜肉、食用农产品、家禽、水产品。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widowControl/>
                    <w:jc w:val="center"/>
                    <w:rPr>
                      <w:rFonts w:ascii="宋体" w:hAnsi="宋体"/>
                    </w:rPr>
                  </w:pPr>
                  <w:r>
                    <w:rPr>
                      <w:rFonts w:hint="eastAsia" w:ascii="宋体" w:hAnsi="宋体"/>
                    </w:rPr>
                    <w:t>注册地址</w:t>
                  </w:r>
                </w:p>
              </w:tc>
              <w:tc>
                <w:tcPr>
                  <w:tcW w:w="7132" w:type="dxa"/>
                </w:tcPr>
                <w:p>
                  <w:pPr>
                    <w:widowControl/>
                    <w:jc w:val="left"/>
                    <w:rPr>
                      <w:rFonts w:ascii="宋体" w:hAnsi="宋体"/>
                    </w:rPr>
                  </w:pPr>
                  <w:r>
                    <w:rPr>
                      <w:rFonts w:hint="eastAsia" w:ascii="宋体" w:hAnsi="宋体"/>
                    </w:rPr>
                    <w:t>苏州市吴中区越溪木林路3</w:t>
                  </w:r>
                  <w:r>
                    <w:rPr>
                      <w:rFonts w:ascii="宋体" w:hAnsi="宋体"/>
                    </w:rPr>
                    <w:t>3</w:t>
                  </w:r>
                  <w:r>
                    <w:rPr>
                      <w:rFonts w:hint="eastAsia" w:ascii="宋体" w:hAnsi="宋体"/>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widowControl/>
                    <w:jc w:val="center"/>
                    <w:rPr>
                      <w:rFonts w:ascii="宋体" w:hAnsi="宋体"/>
                    </w:rPr>
                  </w:pPr>
                  <w:r>
                    <w:rPr>
                      <w:rFonts w:hint="eastAsia" w:ascii="宋体" w:hAnsi="宋体"/>
                    </w:rPr>
                    <w:t>经营地址</w:t>
                  </w:r>
                </w:p>
              </w:tc>
              <w:tc>
                <w:tcPr>
                  <w:tcW w:w="7132" w:type="dxa"/>
                </w:tcPr>
                <w:p>
                  <w:pPr>
                    <w:widowControl/>
                    <w:jc w:val="left"/>
                    <w:rPr>
                      <w:rFonts w:ascii="宋体" w:hAnsi="宋体"/>
                    </w:rPr>
                  </w:pPr>
                  <w:r>
                    <w:rPr>
                      <w:rFonts w:hint="eastAsia" w:ascii="宋体" w:hAnsi="宋体"/>
                    </w:rPr>
                    <w:t>苏州市吴中区越溪木林路3</w:t>
                  </w:r>
                  <w:r>
                    <w:rPr>
                      <w:rFonts w:ascii="宋体" w:hAnsi="宋体"/>
                    </w:rPr>
                    <w:t>3</w:t>
                  </w:r>
                  <w:r>
                    <w:rPr>
                      <w:rFonts w:hint="eastAsia" w:ascii="宋体" w:hAnsi="宋体"/>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widowControl/>
                    <w:jc w:val="center"/>
                    <w:rPr>
                      <w:rFonts w:ascii="宋体" w:hAnsi="宋体"/>
                    </w:rPr>
                  </w:pPr>
                  <w:r>
                    <w:rPr>
                      <w:rFonts w:hint="eastAsia" w:ascii="宋体" w:hAnsi="宋体"/>
                    </w:rPr>
                    <w:t>组织单元（部门/分支）</w:t>
                  </w:r>
                </w:p>
              </w:tc>
              <w:tc>
                <w:tcPr>
                  <w:tcW w:w="7132" w:type="dxa"/>
                </w:tcPr>
                <w:p>
                  <w:pPr>
                    <w:widowControl/>
                    <w:jc w:val="left"/>
                    <w:rPr>
                      <w:rFonts w:ascii="宋体" w:hAnsi="宋体"/>
                    </w:rPr>
                  </w:pPr>
                  <w:r>
                    <w:rPr>
                      <w:rFonts w:hint="eastAsia" w:ascii="宋体" w:hAnsi="宋体"/>
                    </w:rPr>
                    <w:sym w:font="Wingdings" w:char="00FE"/>
                  </w:r>
                  <w:r>
                    <w:rPr>
                      <w:rFonts w:hint="eastAsia" w:ascii="宋体" w:hAnsi="宋体"/>
                    </w:rPr>
                    <w:t>与组织结构图一致</w:t>
                  </w:r>
                </w:p>
                <w:p>
                  <w:pPr>
                    <w:widowControl/>
                    <w:jc w:val="left"/>
                    <w:rPr>
                      <w:rFonts w:ascii="宋体" w:hAnsi="宋体"/>
                    </w:rPr>
                  </w:pPr>
                  <w:r>
                    <w:rPr>
                      <w:rFonts w:hint="eastAsia" w:ascii="宋体" w:hAnsi="宋体"/>
                    </w:rPr>
                    <w:sym w:font="Wingdings" w:char="00A8"/>
                  </w:r>
                  <w:r>
                    <w:rPr>
                      <w:rFonts w:hint="eastAsia" w:ascii="宋体" w:hAnsi="宋体"/>
                    </w:rPr>
                    <w:t xml:space="preserve">分支机构，如：                   </w:t>
                  </w:r>
                </w:p>
                <w:p>
                  <w:pPr>
                    <w:widowControl/>
                    <w:jc w:val="left"/>
                    <w:rPr>
                      <w:rFonts w:ascii="宋体" w:hAnsi="宋体"/>
                    </w:rPr>
                  </w:pPr>
                  <w:r>
                    <w:rPr>
                      <w:rFonts w:hint="eastAsia" w:ascii="宋体" w:hAnsi="宋体"/>
                    </w:rPr>
                    <w:sym w:font="Wingdings" w:char="00A8"/>
                  </w:r>
                  <w:r>
                    <w:rPr>
                      <w:rFonts w:hint="eastAsia" w:ascii="宋体" w:hAnsi="宋体"/>
                    </w:rPr>
                    <w:t xml:space="preserve">临时场所，如：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widowControl/>
                    <w:jc w:val="center"/>
                    <w:rPr>
                      <w:rFonts w:ascii="宋体" w:hAnsi="宋体"/>
                    </w:rPr>
                  </w:pPr>
                  <w:r>
                    <w:rPr>
                      <w:rFonts w:hint="eastAsia" w:ascii="宋体" w:hAnsi="宋体"/>
                    </w:rPr>
                    <w:t>时间</w:t>
                  </w:r>
                </w:p>
              </w:tc>
              <w:tc>
                <w:tcPr>
                  <w:tcW w:w="7132" w:type="dxa"/>
                </w:tcPr>
                <w:p>
                  <w:pPr>
                    <w:widowControl/>
                    <w:jc w:val="left"/>
                    <w:rPr>
                      <w:rFonts w:ascii="宋体" w:hAnsi="宋体"/>
                    </w:rPr>
                  </w:pPr>
                  <w:r>
                    <w:rPr>
                      <w:rFonts w:hint="eastAsia" w:ascii="宋体" w:hAnsi="宋体"/>
                    </w:rPr>
                    <w:sym w:font="Wingdings" w:char="00A8"/>
                  </w:r>
                  <w:r>
                    <w:rPr>
                      <w:rFonts w:hint="eastAsia" w:ascii="宋体" w:hAnsi="宋体"/>
                    </w:rPr>
                    <w:t xml:space="preserve"> 体系建立以来</w:t>
                  </w:r>
                </w:p>
                <w:p>
                  <w:pPr>
                    <w:widowControl/>
                    <w:jc w:val="left"/>
                    <w:rPr>
                      <w:rFonts w:ascii="宋体" w:hAnsi="宋体"/>
                    </w:rPr>
                  </w:pPr>
                  <w:r>
                    <w:rPr>
                      <w:rFonts w:hint="eastAsia" w:ascii="宋体" w:hAnsi="宋体"/>
                    </w:rPr>
                    <w:sym w:font="Wingdings" w:char="00FE"/>
                  </w:r>
                  <w:r>
                    <w:rPr>
                      <w:rFonts w:hint="eastAsia" w:ascii="宋体" w:hAnsi="宋体"/>
                    </w:rPr>
                    <w:t>近一年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widowControl/>
                    <w:jc w:val="center"/>
                    <w:rPr>
                      <w:rFonts w:ascii="宋体" w:hAnsi="宋体"/>
                    </w:rPr>
                  </w:pPr>
                  <w:r>
                    <w:rPr>
                      <w:rFonts w:hint="eastAsia" w:ascii="宋体" w:hAnsi="宋体"/>
                    </w:rPr>
                    <w:t>不适用ISO9001的条款</w:t>
                  </w:r>
                </w:p>
              </w:tc>
              <w:tc>
                <w:tcPr>
                  <w:tcW w:w="7132" w:type="dxa"/>
                </w:tcPr>
                <w:p>
                  <w:pPr>
                    <w:widowControl/>
                    <w:jc w:val="left"/>
                    <w:rPr>
                      <w:rFonts w:ascii="宋体" w:hAnsi="宋体"/>
                    </w:rPr>
                  </w:pPr>
                  <w:r>
                    <w:rPr>
                      <w:rFonts w:hint="eastAsia" w:ascii="宋体" w:hAnsi="宋体"/>
                    </w:rPr>
                    <w:sym w:font="Wingdings" w:char="00FE"/>
                  </w:r>
                  <w:r>
                    <w:rPr>
                      <w:rFonts w:hint="eastAsia" w:ascii="宋体" w:hAnsi="宋体"/>
                    </w:rPr>
                    <w:t>8.3产品和服务的设计和开发</w:t>
                  </w:r>
                </w:p>
                <w:p>
                  <w:pPr>
                    <w:widowControl/>
                    <w:jc w:val="left"/>
                    <w:rPr>
                      <w:rFonts w:ascii="宋体" w:hAnsi="宋体"/>
                    </w:rPr>
                  </w:pPr>
                  <w:r>
                    <w:rPr>
                      <w:rFonts w:hint="eastAsia" w:ascii="宋体" w:hAnsi="宋体"/>
                    </w:rPr>
                    <w:sym w:font="Wingdings" w:char="00A8"/>
                  </w:r>
                  <w:r>
                    <w:rPr>
                      <w:rFonts w:hint="eastAsia" w:ascii="宋体" w:hAnsi="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widowControl/>
                    <w:jc w:val="center"/>
                    <w:rPr>
                      <w:rFonts w:ascii="宋体" w:hAnsi="宋体"/>
                    </w:rPr>
                  </w:pPr>
                  <w:r>
                    <w:rPr>
                      <w:rFonts w:hint="eastAsia" w:ascii="宋体" w:hAnsi="宋体"/>
                    </w:rPr>
                    <w:t>不适用的理由（可多选）</w:t>
                  </w:r>
                </w:p>
              </w:tc>
              <w:tc>
                <w:tcPr>
                  <w:tcW w:w="7132" w:type="dxa"/>
                  <w:vAlign w:val="center"/>
                </w:tcPr>
                <w:p>
                  <w:pPr>
                    <w:widowControl/>
                    <w:jc w:val="left"/>
                    <w:rPr>
                      <w:rFonts w:ascii="宋体" w:hAnsi="宋体"/>
                    </w:rPr>
                  </w:pPr>
                  <w:r>
                    <w:rPr>
                      <w:rFonts w:hint="eastAsia" w:ascii="宋体" w:hAnsi="宋体"/>
                    </w:rPr>
                    <w:sym w:font="Wingdings 2" w:char="0052"/>
                  </w:r>
                  <w:r>
                    <w:rPr>
                      <w:rFonts w:hint="eastAsia" w:ascii="宋体" w:hAnsi="宋体"/>
                    </w:rPr>
                    <w:t xml:space="preserve">受审核组织没有设计开发的责任    </w:t>
                  </w:r>
                </w:p>
                <w:p>
                  <w:pPr>
                    <w:widowControl/>
                    <w:jc w:val="left"/>
                    <w:rPr>
                      <w:rFonts w:ascii="宋体" w:hAnsi="宋体"/>
                    </w:rPr>
                  </w:pPr>
                  <w:r>
                    <w:rPr>
                      <w:rFonts w:hint="eastAsia" w:ascii="宋体" w:hAnsi="宋体"/>
                    </w:rPr>
                    <w:t xml:space="preserve">□受审核组织没有设计开发的能力   </w:t>
                  </w:r>
                </w:p>
                <w:p>
                  <w:pPr>
                    <w:widowControl/>
                    <w:jc w:val="left"/>
                    <w:rPr>
                      <w:rFonts w:ascii="宋体" w:hAnsi="宋体"/>
                    </w:rPr>
                  </w:pPr>
                  <w:r>
                    <w:rPr>
                      <w:rFonts w:hint="eastAsia" w:ascii="宋体" w:hAnsi="宋体"/>
                    </w:rPr>
                    <w:t>□受审核组织没有设计开发修改的权力</w:t>
                  </w:r>
                </w:p>
                <w:p>
                  <w:pPr>
                    <w:widowControl/>
                    <w:jc w:val="left"/>
                    <w:rPr>
                      <w:rFonts w:ascii="宋体" w:hAnsi="宋体"/>
                    </w:rPr>
                  </w:pPr>
                  <w:r>
                    <w:rPr>
                      <w:rFonts w:hint="eastAsia" w:ascii="宋体" w:hAnsi="宋体"/>
                    </w:rPr>
                    <w:t>□受审核组织按照顾客图纸和合同要求提供生产和服务</w:t>
                  </w:r>
                </w:p>
                <w:p>
                  <w:pPr>
                    <w:widowControl/>
                    <w:jc w:val="left"/>
                    <w:rPr>
                      <w:rFonts w:ascii="宋体" w:hAnsi="宋体"/>
                    </w:rPr>
                  </w:pPr>
                  <w:r>
                    <w:rPr>
                      <w:rFonts w:hint="eastAsia" w:ascii="宋体" w:hAnsi="宋体"/>
                    </w:rPr>
                    <w:t>□受审核组织按照公司总部的技术要求提供生产和服务</w:t>
                  </w:r>
                </w:p>
                <w:p>
                  <w:pPr>
                    <w:widowControl/>
                    <w:jc w:val="left"/>
                    <w:rPr>
                      <w:rFonts w:ascii="宋体" w:hAnsi="宋体"/>
                    </w:rPr>
                  </w:pPr>
                  <w:r>
                    <w:rPr>
                      <w:rFonts w:hint="eastAsia" w:ascii="宋体" w:hAnsi="宋体"/>
                    </w:rPr>
                    <w:sym w:font="Wingdings" w:char="00A8"/>
                  </w:r>
                  <w:r>
                    <w:rPr>
                      <w:rFonts w:hint="eastAsia" w:ascii="宋体" w:hAnsi="宋体"/>
                    </w:rPr>
                    <w:t>受审核组织按照传统工艺提供生产和服务</w:t>
                  </w:r>
                </w:p>
                <w:p>
                  <w:pPr>
                    <w:widowControl/>
                    <w:jc w:val="left"/>
                    <w:rPr>
                      <w:rFonts w:ascii="宋体" w:hAnsi="宋体"/>
                    </w:rPr>
                  </w:pPr>
                  <w:r>
                    <w:rPr>
                      <w:rFonts w:hint="eastAsia" w:ascii="宋体" w:hAnsi="宋体"/>
                    </w:rPr>
                    <w:t>□其他：</w:t>
                  </w:r>
                </w:p>
              </w:tc>
            </w:tr>
          </w:tbl>
          <w:p>
            <w:pPr>
              <w:widowControl/>
              <w:jc w:val="center"/>
              <w:rPr>
                <w:rFonts w:ascii="宋体" w:hAnsi="宋体"/>
              </w:rPr>
            </w:pPr>
          </w:p>
          <w:p>
            <w:pPr>
              <w:widowControl/>
              <w:jc w:val="center"/>
              <w:rPr>
                <w:rFonts w:ascii="宋体" w:hAnsi="宋体"/>
              </w:rPr>
            </w:pP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质量管理体系及其过程</w:t>
            </w:r>
          </w:p>
        </w:tc>
        <w:tc>
          <w:tcPr>
            <w:tcW w:w="960" w:type="dxa"/>
            <w:vMerge w:val="restart"/>
          </w:tcPr>
          <w:p>
            <w:r>
              <w:rPr>
                <w:rFonts w:hint="eastAsia"/>
              </w:rPr>
              <w:t xml:space="preserve">Q4.4 </w:t>
            </w:r>
          </w:p>
        </w:tc>
        <w:tc>
          <w:tcPr>
            <w:tcW w:w="745" w:type="dxa"/>
          </w:tcPr>
          <w:p>
            <w:r>
              <w:rPr>
                <w:rFonts w:hint="eastAsia"/>
              </w:rPr>
              <w:t>文件名称</w:t>
            </w:r>
          </w:p>
        </w:tc>
        <w:tc>
          <w:tcPr>
            <w:tcW w:w="9426" w:type="dxa"/>
          </w:tcPr>
          <w:p>
            <w:r>
              <w:rPr>
                <w:rFonts w:hint="eastAsia"/>
              </w:rPr>
              <w:t>如：</w:t>
            </w:r>
            <w:r>
              <w:rPr>
                <w:rFonts w:hint="eastAsia" w:ascii="MS Gothic" w:hAnsi="MS Gothic" w:eastAsia="MS Gothic" w:cs="MS Gothic"/>
              </w:rPr>
              <w:t>☑</w:t>
            </w:r>
            <w:r>
              <w:rPr>
                <w:rFonts w:hint="eastAsia" w:ascii="宋体" w:hAnsi="宋体" w:cs="宋体"/>
              </w:rPr>
              <w:t>管理手册第</w:t>
            </w:r>
            <w:r>
              <w:rPr>
                <w:rFonts w:hint="eastAsia"/>
              </w:rPr>
              <w:t>4.4章和</w:t>
            </w:r>
            <w:r>
              <w:rPr>
                <w:rFonts w:hint="eastAsia" w:ascii="MS Gothic" w:hAnsi="MS Gothic" w:eastAsia="MS Gothic" w:cs="MS Gothic"/>
              </w:rPr>
              <w:t>☑</w:t>
            </w:r>
            <w:r>
              <w:rPr>
                <w:rFonts w:hint="eastAsia"/>
              </w:rPr>
              <w:t>《风险和机遇评估分析表》</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rPr>
                <w:b/>
                <w:bCs/>
              </w:rPr>
            </w:pPr>
            <w:r>
              <w:rPr>
                <w:rFonts w:hint="eastAsia"/>
              </w:rPr>
              <w:t>☑订单评审过程 ☑配送过程 ☑交付和顾客反馈过程 ☑经营计划过程☑内部审核过程 ☑管理评审过程 ☑文件记录管理过程 ☑人力资源管理过程 ☑采购过程 ☑检验过程 ☑设备工装管理过程☑检验设备管理过程☑不合格管理过程☑改进过程</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□新产品设计开发 □原材料订制□配送过程 □检验检测□产品运输 □设备维修</w:t>
            </w:r>
          </w:p>
          <w:p>
            <w:pPr>
              <w:spacing w:before="40" w:after="40"/>
            </w:pPr>
            <w:r>
              <w:rPr>
                <w:rFonts w:hint="eastAsia"/>
              </w:rPr>
              <w:t>□人员培训 □其他</w:t>
            </w:r>
          </w:p>
          <w:p>
            <w:pPr>
              <w:rPr>
                <w:highlight w:val="cyan"/>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rPr>
              <w:t>Q5.1  </w:t>
            </w:r>
          </w:p>
        </w:tc>
        <w:tc>
          <w:tcPr>
            <w:tcW w:w="745" w:type="dxa"/>
          </w:tcPr>
          <w:p>
            <w:r>
              <w:rPr>
                <w:rFonts w:hint="eastAsia"/>
              </w:rPr>
              <w:t>文件名称</w:t>
            </w:r>
          </w:p>
        </w:tc>
        <w:tc>
          <w:tcPr>
            <w:tcW w:w="9426" w:type="dxa"/>
          </w:tcPr>
          <w:p>
            <w:r>
              <w:rPr>
                <w:rFonts w:hint="eastAsia"/>
              </w:rPr>
              <w:t>如：☑管理手册第5.1章和☑最高管理者岗位职责</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pPr>
              <w:rPr>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color w:val="000000"/>
                <w:szCs w:val="21"/>
              </w:rPr>
              <w:t xml:space="preserve">对质量管理体系的有效性承担责任； </w:t>
            </w:r>
          </w:p>
          <w:p>
            <w:pPr>
              <w:spacing w:line="400" w:lineRule="exact"/>
              <w:ind w:right="120" w:rightChars="57"/>
              <w:rPr>
                <w:rFonts w:ascii="宋体" w:hAnsi="宋体" w:cs="宋体"/>
                <w:szCs w:val="24"/>
              </w:rPr>
            </w:pPr>
            <w:r>
              <w:rPr>
                <w:rFonts w:hint="eastAsia"/>
                <w:color w:val="000000"/>
                <w:szCs w:val="21"/>
              </w:rPr>
              <w:sym w:font="Wingdings" w:char="00FE"/>
            </w:r>
            <w:r>
              <w:rPr>
                <w:rFonts w:hint="eastAsia" w:ascii="宋体" w:hAnsi="宋体" w:cs="宋体"/>
                <w:szCs w:val="24"/>
              </w:rPr>
              <w:t>确保制定质量</w:t>
            </w:r>
            <w:bookmarkStart w:id="0" w:name="_Hlk10880517"/>
            <w:r>
              <w:rPr>
                <w:rFonts w:hint="eastAsia" w:ascii="宋体" w:hAnsi="宋体" w:cs="宋体"/>
                <w:szCs w:val="24"/>
              </w:rPr>
              <w:t>、环境、职业健康、食品安全</w:t>
            </w:r>
            <w:bookmarkEnd w:id="0"/>
            <w:r>
              <w:rPr>
                <w:rFonts w:hint="eastAsia" w:ascii="宋体" w:hAnsi="宋体" w:cs="宋体"/>
                <w:szCs w:val="24"/>
              </w:rPr>
              <w:t>管理体系的质量、环境、职业健康、食品安全方针和质量、环境、职业健康、食品安全目标，并与组织环境和战略方向相一致；</w:t>
            </w:r>
          </w:p>
          <w:p>
            <w:pPr>
              <w:rPr>
                <w:color w:val="000000"/>
                <w:szCs w:val="21"/>
              </w:rPr>
            </w:pP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ascii="宋体" w:hAnsi="宋体" w:cs="宋体"/>
                <w:szCs w:val="24"/>
              </w:rPr>
              <w:t>确保质量、环境、职业健康、食品安全管理体系要求融入与组织的业务过程；</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ascii="宋体" w:hAnsi="宋体" w:cs="宋体"/>
                <w:szCs w:val="24"/>
              </w:rPr>
              <w:t>促进使用过程方法和基于风险的思维；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ascii="宋体" w:hAnsi="宋体" w:cs="宋体"/>
                <w:szCs w:val="24"/>
              </w:rPr>
              <w:t>确保获得质量、环境、职业健康、食品安全管理体系所需的资源；</w:t>
            </w:r>
          </w:p>
          <w:p>
            <w:pPr>
              <w:ind w:left="210" w:hanging="210" w:hangingChars="100"/>
              <w:rPr>
                <w:color w:val="000000"/>
                <w:szCs w:val="21"/>
              </w:rPr>
            </w:pPr>
            <w:r>
              <w:rPr>
                <w:rFonts w:hint="eastAsia"/>
                <w:color w:val="000000"/>
                <w:szCs w:val="21"/>
              </w:rPr>
              <w:sym w:font="Wingdings" w:char="00FE"/>
            </w:r>
            <w:r>
              <w:rPr>
                <w:rFonts w:hint="eastAsia" w:ascii="宋体" w:hAnsi="宋体" w:cs="宋体"/>
                <w:szCs w:val="24"/>
              </w:rPr>
              <w:t>沟通有效的质量、环境、职业健康、食品安全管理和符合质量、环境、职业健康、食品安全管理体系要求的重要性；</w:t>
            </w:r>
          </w:p>
          <w:p>
            <w:pPr>
              <w:spacing w:line="400" w:lineRule="exact"/>
              <w:rPr>
                <w:rFonts w:ascii="宋体" w:hAnsi="宋体" w:cs="宋体"/>
                <w:szCs w:val="24"/>
              </w:rPr>
            </w:pPr>
            <w:r>
              <w:rPr>
                <w:rFonts w:hint="eastAsia"/>
                <w:color w:val="000000"/>
                <w:szCs w:val="21"/>
              </w:rPr>
              <w:sym w:font="Wingdings" w:char="00FE"/>
            </w:r>
            <w:r>
              <w:rPr>
                <w:rFonts w:hint="eastAsia" w:ascii="宋体" w:hAnsi="宋体" w:cs="宋体"/>
                <w:szCs w:val="24"/>
              </w:rPr>
              <w:t>确保实现质量、环境、职业健康、食品安全管理体系的预期结果；</w:t>
            </w:r>
          </w:p>
          <w:p>
            <w:pPr>
              <w:rPr>
                <w:color w:val="000000"/>
                <w:szCs w:val="21"/>
              </w:rPr>
            </w:pPr>
            <w:r>
              <w:rPr>
                <w:rFonts w:hint="eastAsia"/>
                <w:color w:val="000000"/>
                <w:szCs w:val="21"/>
              </w:rPr>
              <w:sym w:font="Wingdings" w:char="00FE"/>
            </w:r>
            <w:r>
              <w:rPr>
                <w:rFonts w:hint="eastAsia" w:ascii="宋体" w:hAnsi="宋体" w:cs="宋体"/>
                <w:szCs w:val="24"/>
              </w:rPr>
              <w:t>促使、指导和支持员工努力提高质量、环境、职业健康、食品安全管理体系的有效性；</w:t>
            </w:r>
          </w:p>
          <w:p>
            <w:pPr>
              <w:rPr>
                <w:color w:val="000000"/>
                <w:szCs w:val="21"/>
              </w:rPr>
            </w:pPr>
            <w:r>
              <w:rPr>
                <w:rFonts w:hint="eastAsia"/>
                <w:color w:val="000000"/>
                <w:szCs w:val="21"/>
              </w:rPr>
              <w:sym w:font="Wingdings" w:char="00FE"/>
            </w:r>
            <w:r>
              <w:rPr>
                <w:rFonts w:hint="eastAsia"/>
                <w:color w:val="000000"/>
                <w:szCs w:val="21"/>
              </w:rPr>
              <w:t>推动改进；</w:t>
            </w:r>
          </w:p>
          <w:p>
            <w:pPr>
              <w:rPr>
                <w:color w:val="000000"/>
                <w:szCs w:val="21"/>
              </w:rPr>
            </w:pPr>
            <w:r>
              <w:rPr>
                <w:rFonts w:hint="eastAsia"/>
                <w:color w:val="000000"/>
                <w:szCs w:val="21"/>
              </w:rPr>
              <w:sym w:font="Wingdings" w:char="00FE"/>
            </w:r>
            <w:r>
              <w:rPr>
                <w:rFonts w:hint="eastAsia"/>
                <w:color w:val="000000"/>
                <w:szCs w:val="21"/>
              </w:rPr>
              <w:t>支持其他相关管理者在其职责范围内发挥领导作用。</w:t>
            </w:r>
          </w:p>
          <w:p>
            <w:pPr>
              <w:rPr>
                <w:color w:val="000000"/>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以顾客为关注焦点</w:t>
            </w:r>
          </w:p>
          <w:p/>
        </w:tc>
        <w:tc>
          <w:tcPr>
            <w:tcW w:w="960" w:type="dxa"/>
            <w:vMerge w:val="restart"/>
          </w:tcPr>
          <w:p>
            <w:r>
              <w:rPr>
                <w:rFonts w:hint="eastAsia"/>
              </w:rPr>
              <w:t>Q5.1.2  </w:t>
            </w:r>
          </w:p>
        </w:tc>
        <w:tc>
          <w:tcPr>
            <w:tcW w:w="745" w:type="dxa"/>
          </w:tcPr>
          <w:p>
            <w:r>
              <w:rPr>
                <w:rFonts w:hint="eastAsia"/>
              </w:rPr>
              <w:t>文件名称</w:t>
            </w:r>
          </w:p>
        </w:tc>
        <w:tc>
          <w:tcPr>
            <w:tcW w:w="9426" w:type="dxa"/>
          </w:tcPr>
          <w:p>
            <w:r>
              <w:rPr>
                <w:rFonts w:hint="eastAsia"/>
              </w:rPr>
              <w:t>如：☑管理手册第5.1章</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pPr>
              <w:rPr>
                <w:color w:val="000000"/>
                <w:szCs w:val="21"/>
              </w:rPr>
            </w:pPr>
            <w:r>
              <w:rPr>
                <w:rFonts w:hint="eastAsia"/>
                <w:color w:val="000000"/>
                <w:szCs w:val="21"/>
              </w:rPr>
              <w:t xml:space="preserve"> 最高管理者证实其以顾客为关注焦点的领导作用和承诺：</w:t>
            </w:r>
          </w:p>
          <w:p>
            <w:pPr>
              <w:rPr>
                <w:color w:val="000000"/>
                <w:szCs w:val="21"/>
              </w:rPr>
            </w:pPr>
            <w:r>
              <w:rPr>
                <w:rFonts w:hint="eastAsia"/>
              </w:rPr>
              <w:t>☑</w:t>
            </w:r>
            <w:r>
              <w:rPr>
                <w:rFonts w:hint="eastAsia"/>
                <w:color w:val="000000"/>
                <w:szCs w:val="21"/>
              </w:rPr>
              <w:t xml:space="preserve">确定、理解并持续地满足顾客要求以及适用的法律法规要求； </w:t>
            </w:r>
          </w:p>
          <w:p>
            <w:pPr>
              <w:rPr>
                <w:color w:val="000000"/>
                <w:szCs w:val="21"/>
              </w:rPr>
            </w:pPr>
            <w:r>
              <w:rPr>
                <w:rFonts w:hint="eastAsia"/>
              </w:rPr>
              <w:t>☑</w:t>
            </w:r>
            <w:r>
              <w:rPr>
                <w:rFonts w:hint="eastAsia"/>
                <w:color w:val="000000"/>
                <w:szCs w:val="21"/>
              </w:rPr>
              <w:t xml:space="preserve">确定和应对能够影响产品和服务的符合性以及增强顾客满意能力的风险和机遇； </w:t>
            </w:r>
          </w:p>
          <w:p>
            <w:pPr>
              <w:rPr>
                <w:color w:val="000000"/>
                <w:szCs w:val="21"/>
              </w:rPr>
            </w:pPr>
            <w:r>
              <w:rPr>
                <w:rFonts w:hint="eastAsia"/>
              </w:rPr>
              <w:t>☑</w:t>
            </w:r>
            <w:r>
              <w:rPr>
                <w:rFonts w:hint="eastAsia"/>
                <w:color w:val="000000"/>
                <w:szCs w:val="21"/>
              </w:rPr>
              <w:t xml:space="preserve">始终致力于增强顾客满意。 </w:t>
            </w:r>
          </w:p>
          <w:p>
            <w:pPr>
              <w:rPr>
                <w:color w:val="000000"/>
                <w:szCs w:val="21"/>
              </w:rPr>
            </w:pPr>
            <w:r>
              <w:rPr>
                <w:rFonts w:hint="eastAsia"/>
              </w:rPr>
              <w:t>通过的方式——</w:t>
            </w:r>
          </w:p>
          <w:p>
            <w:pPr>
              <w:rPr>
                <w:color w:val="000000"/>
                <w:szCs w:val="21"/>
              </w:rPr>
            </w:pPr>
            <w:r>
              <w:rPr>
                <w:rFonts w:hint="eastAsia"/>
                <w:color w:val="000000"/>
                <w:szCs w:val="21"/>
              </w:rPr>
              <w:t xml:space="preserve"> </w:t>
            </w:r>
            <w:r>
              <w:rPr>
                <w:rFonts w:hint="eastAsia"/>
              </w:rPr>
              <w:t>☑以身作则 ☑建立机制 ☑法规宣传 ☑风险机遇的应对 ☑重视顾客反馈 ☑目标考核 □其他</w:t>
            </w:r>
          </w:p>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方针</w:t>
            </w:r>
          </w:p>
        </w:tc>
        <w:tc>
          <w:tcPr>
            <w:tcW w:w="960" w:type="dxa"/>
            <w:vMerge w:val="restart"/>
          </w:tcPr>
          <w:p>
            <w:r>
              <w:rPr>
                <w:rFonts w:hint="eastAsia"/>
              </w:rPr>
              <w:t>Q5.2  </w:t>
            </w:r>
          </w:p>
        </w:tc>
        <w:tc>
          <w:tcPr>
            <w:tcW w:w="745" w:type="dxa"/>
          </w:tcPr>
          <w:p>
            <w:r>
              <w:rPr>
                <w:rFonts w:hint="eastAsia"/>
              </w:rPr>
              <w:t>文件名称</w:t>
            </w:r>
          </w:p>
        </w:tc>
        <w:tc>
          <w:tcPr>
            <w:tcW w:w="9426" w:type="dxa"/>
          </w:tcPr>
          <w:p>
            <w:r>
              <w:rPr>
                <w:rFonts w:hint="eastAsia"/>
              </w:rPr>
              <w:t>如：☑管理手册第5.2章 ☑质量方针</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pPr>
              <w:rPr>
                <w:u w:val="single"/>
              </w:rPr>
            </w:pPr>
            <w:r>
              <w:rPr>
                <w:rFonts w:hint="eastAsia"/>
                <w:color w:val="000000"/>
                <w:szCs w:val="21"/>
              </w:rPr>
              <w:t xml:space="preserve"> </w:t>
            </w:r>
            <w:r>
              <w:rPr>
                <w:rFonts w:hint="eastAsia"/>
              </w:rPr>
              <w:t>最高管理者制定了文件化的管理体系方针：</w:t>
            </w:r>
          </w:p>
          <w:p>
            <w:r>
              <w:rPr>
                <w:rFonts w:hint="eastAsia"/>
              </w:rPr>
              <w:t>公司一体化管理方针：宾客至上、质量第一，保护环境、预防第一、诚信守法、安全第一、持续改进永续经营。</w:t>
            </w:r>
          </w:p>
          <w:p>
            <w:r>
              <w:rPr>
                <w:rFonts w:hint="eastAsia"/>
              </w:rPr>
              <w:t>☑适应组织的宗旨和环境并支持其战略方向</w:t>
            </w:r>
          </w:p>
          <w:p>
            <w:pPr>
              <w:rPr>
                <w:lang w:val="en-GB"/>
              </w:rPr>
            </w:pPr>
            <w:r>
              <w:rPr>
                <w:rFonts w:hint="eastAsia"/>
              </w:rPr>
              <w:t>☑</w:t>
            </w:r>
            <w:r>
              <w:rPr>
                <w:rFonts w:hint="eastAsia"/>
                <w:lang w:val="en-GB"/>
              </w:rPr>
              <w:t>质量方针合理恰当并为相应的质量目标提供了框架。</w:t>
            </w:r>
          </w:p>
          <w:p>
            <w:r>
              <w:rPr>
                <w:rFonts w:hint="eastAsia"/>
              </w:rPr>
              <w:t xml:space="preserve">☑包括满足适用要求的承诺； </w:t>
            </w:r>
          </w:p>
          <w:p>
            <w:pPr>
              <w:rPr>
                <w:lang w:val="en-GB"/>
              </w:rPr>
            </w:pPr>
            <w:r>
              <w:rPr>
                <w:rFonts w:hint="eastAsia"/>
              </w:rPr>
              <w:t>☑包括持续改进质量管理体系的承诺</w:t>
            </w:r>
          </w:p>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FE"/>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组织的岗位、职责和权限</w:t>
            </w:r>
          </w:p>
          <w:p/>
        </w:tc>
        <w:tc>
          <w:tcPr>
            <w:tcW w:w="960" w:type="dxa"/>
            <w:vMerge w:val="restart"/>
          </w:tcPr>
          <w:p>
            <w:r>
              <w:rPr>
                <w:rFonts w:hint="eastAsia"/>
              </w:rPr>
              <w:t>Q5.3  </w:t>
            </w:r>
          </w:p>
        </w:tc>
        <w:tc>
          <w:tcPr>
            <w:tcW w:w="745" w:type="dxa"/>
          </w:tcPr>
          <w:p>
            <w:r>
              <w:rPr>
                <w:rFonts w:hint="eastAsia"/>
              </w:rPr>
              <w:t>文件名称</w:t>
            </w:r>
          </w:p>
        </w:tc>
        <w:tc>
          <w:tcPr>
            <w:tcW w:w="9426" w:type="dxa"/>
          </w:tcPr>
          <w:p>
            <w:pPr>
              <w:jc w:val="left"/>
            </w:pPr>
            <w:r>
              <w:rPr>
                <w:rFonts w:hint="eastAsia"/>
              </w:rPr>
              <w:t>如：☑管理手册第5.3章</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r>
              <w:rPr>
                <w:rFonts w:hint="eastAsia"/>
              </w:rPr>
              <w:t>最高管理者确定了组织架构及相关岗位的职责、权限，并进行了全员的沟通和理解；</w:t>
            </w:r>
          </w:p>
          <w:p>
            <w:r>
              <w:rPr>
                <w:rFonts w:hint="eastAsia"/>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检验过程</w:t>
                  </w:r>
                </w:p>
              </w:tc>
              <w:tc>
                <w:tcPr>
                  <w:tcW w:w="2261" w:type="dxa"/>
                </w:tcPr>
                <w:p>
                  <w:r>
                    <w:rPr>
                      <w:rFonts w:hint="eastAsia"/>
                    </w:rPr>
                    <w:t>质检部</w:t>
                  </w:r>
                </w:p>
              </w:tc>
              <w:tc>
                <w:tcPr>
                  <w:tcW w:w="2261" w:type="dxa"/>
                </w:tcPr>
                <w:p>
                  <w:r>
                    <w:rPr>
                      <w:rFonts w:hint="eastAsia"/>
                    </w:rPr>
                    <w:t>人力资源管理过程</w:t>
                  </w:r>
                </w:p>
              </w:tc>
              <w:tc>
                <w:tcPr>
                  <w:tcW w:w="2261" w:type="dxa"/>
                </w:tcPr>
                <w:p>
                  <w:r>
                    <w:rPr>
                      <w:rFonts w:hint="eastAsia"/>
                    </w:rPr>
                    <w:t>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顾客满意调查分析</w:t>
                  </w:r>
                </w:p>
              </w:tc>
              <w:tc>
                <w:tcPr>
                  <w:tcW w:w="2261" w:type="dxa"/>
                </w:tcPr>
                <w:p>
                  <w:r>
                    <w:rPr>
                      <w:rFonts w:hint="eastAsia"/>
                    </w:rPr>
                    <w:t>销售部</w:t>
                  </w:r>
                </w:p>
              </w:tc>
              <w:tc>
                <w:tcPr>
                  <w:tcW w:w="2261" w:type="dxa"/>
                </w:tcPr>
                <w:p>
                  <w:r>
                    <w:rPr>
                      <w:rFonts w:hint="eastAsia"/>
                    </w:rPr>
                    <w:t>配送/服务提供过程</w:t>
                  </w:r>
                </w:p>
              </w:tc>
              <w:tc>
                <w:tcPr>
                  <w:tcW w:w="2261" w:type="dxa"/>
                </w:tcPr>
                <w:p>
                  <w:r>
                    <w:rPr>
                      <w:rFonts w:hint="eastAsia"/>
                    </w:rPr>
                    <w:t>物流部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外部供方控制</w:t>
                  </w:r>
                </w:p>
              </w:tc>
              <w:tc>
                <w:tcPr>
                  <w:tcW w:w="2261" w:type="dxa"/>
                </w:tcPr>
                <w:p>
                  <w:r>
                    <w:rPr>
                      <w:rFonts w:hint="eastAsia"/>
                    </w:rPr>
                    <w:t>采购部</w:t>
                  </w:r>
                </w:p>
              </w:tc>
              <w:tc>
                <w:tcPr>
                  <w:tcW w:w="2261" w:type="dxa"/>
                </w:tcPr>
                <w:p>
                  <w:r>
                    <w:rPr>
                      <w:rFonts w:hint="eastAsia"/>
                    </w:rPr>
                    <w:t>配送/服务放行过程</w:t>
                  </w:r>
                </w:p>
              </w:tc>
              <w:tc>
                <w:tcPr>
                  <w:tcW w:w="2261" w:type="dxa"/>
                </w:tcPr>
                <w:p>
                  <w:r>
                    <w:rPr>
                      <w:rFonts w:hint="eastAsia"/>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应对风险和机遇的措施</w:t>
            </w:r>
          </w:p>
          <w:p/>
        </w:tc>
        <w:tc>
          <w:tcPr>
            <w:tcW w:w="960" w:type="dxa"/>
            <w:vMerge w:val="restart"/>
          </w:tcPr>
          <w:p>
            <w:r>
              <w:rPr>
                <w:rFonts w:hint="eastAsia"/>
                <w:color w:val="000000"/>
                <w:szCs w:val="21"/>
              </w:rPr>
              <w:t>Q6.1  </w:t>
            </w:r>
          </w:p>
        </w:tc>
        <w:tc>
          <w:tcPr>
            <w:tcW w:w="745" w:type="dxa"/>
          </w:tcPr>
          <w:p>
            <w:r>
              <w:rPr>
                <w:rFonts w:hint="eastAsia"/>
              </w:rPr>
              <w:t>文件名称</w:t>
            </w:r>
          </w:p>
        </w:tc>
        <w:tc>
          <w:tcPr>
            <w:tcW w:w="9426" w:type="dxa"/>
          </w:tcPr>
          <w:p>
            <w:r>
              <w:rPr>
                <w:rFonts w:hint="eastAsia"/>
              </w:rPr>
              <w:t>如：</w:t>
            </w:r>
            <w:r>
              <w:rPr>
                <w:rFonts w:hint="eastAsia"/>
              </w:rPr>
              <w:sym w:font="Wingdings" w:char="00FE"/>
            </w:r>
            <w:r>
              <w:rPr>
                <w:rFonts w:hint="eastAsia"/>
              </w:rPr>
              <w:t>《</w:t>
            </w:r>
            <w:r>
              <w:rPr>
                <w:rFonts w:hint="eastAsia"/>
                <w:color w:val="000000"/>
                <w:szCs w:val="21"/>
              </w:rPr>
              <w:t>风险和机遇</w:t>
            </w:r>
            <w:r>
              <w:rPr>
                <w:rFonts w:hint="eastAsia"/>
              </w:rPr>
              <w:t>管制程序》、</w:t>
            </w:r>
            <w:r>
              <w:rPr>
                <w:rFonts w:hint="eastAsia"/>
              </w:rPr>
              <w:sym w:font="Wingdings" w:char="00FE"/>
            </w:r>
            <w:r>
              <w:rPr>
                <w:rFonts w:hint="eastAsia"/>
              </w:rPr>
              <w:t>管理手册第6.1条款</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r>
              <w:rPr>
                <w:rFonts w:hint="eastAsia"/>
              </w:rPr>
              <w:t>分析风险的方法：</w:t>
            </w:r>
            <w:r>
              <w:rPr>
                <w:rFonts w:hint="eastAsia"/>
              </w:rPr>
              <w:sym w:font="Wingdings" w:char="00A8"/>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FE"/>
            </w:r>
            <w:r>
              <w:rPr>
                <w:rFonts w:hint="eastAsia"/>
              </w:rPr>
              <w:t>其他</w:t>
            </w:r>
          </w:p>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FE"/>
            </w:r>
            <w:r>
              <w:rPr>
                <w:rFonts w:hint="eastAsia"/>
              </w:rPr>
              <w:t>为寻求机遇承担风险、</w:t>
            </w:r>
            <w:r>
              <w:rPr>
                <w:rFonts w:hint="eastAsia"/>
              </w:rPr>
              <w:sym w:font="Wingdings" w:char="00FE"/>
            </w:r>
            <w:r>
              <w:rPr>
                <w:rFonts w:hint="eastAsia"/>
              </w:rPr>
              <w:t xml:space="preserve">消除风险源 </w:t>
            </w:r>
            <w:r>
              <w:rPr>
                <w:rFonts w:hint="eastAsia"/>
              </w:rPr>
              <w:sym w:font="Wingdings" w:char="00FE"/>
            </w:r>
            <w:r>
              <w:rPr>
                <w:rFonts w:hint="eastAsia"/>
              </w:rPr>
              <w:t>改变风险的可能性和后果、</w:t>
            </w:r>
            <w:r>
              <w:rPr>
                <w:rFonts w:hint="eastAsia"/>
              </w:rPr>
              <w:sym w:font="Wingdings" w:char="00FE"/>
            </w:r>
            <w:r>
              <w:rPr>
                <w:rFonts w:hint="eastAsia"/>
              </w:rPr>
              <w:t xml:space="preserve">分担风险 </w:t>
            </w:r>
            <w:r>
              <w:rPr>
                <w:rFonts w:hint="eastAsia"/>
              </w:rPr>
              <w:sym w:font="Wingdings" w:char="00FE"/>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p/>
          <w:p>
            <w:r>
              <w:drawing>
                <wp:inline distT="0" distB="0" distL="0" distR="0">
                  <wp:extent cx="5848350" cy="95250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6" cstate="print"/>
                          <a:srcRect/>
                          <a:stretch>
                            <a:fillRect/>
                          </a:stretch>
                        </pic:blipFill>
                        <pic:spPr>
                          <a:xfrm>
                            <a:off x="0" y="0"/>
                            <a:ext cx="5848350" cy="952500"/>
                          </a:xfrm>
                          <a:prstGeom prst="rect">
                            <a:avLst/>
                          </a:prstGeom>
                          <a:noFill/>
                          <a:ln w="9525">
                            <a:noFill/>
                            <a:miter lim="800000"/>
                            <a:headEnd/>
                            <a:tailEnd/>
                          </a:ln>
                        </pic:spPr>
                      </pic:pic>
                    </a:graphicData>
                  </a:graphic>
                </wp:inline>
              </w:drawing>
            </w:r>
          </w:p>
          <w:p/>
          <w:p>
            <w:pPr>
              <w:rPr>
                <w:rFonts w:eastAsia="MS Mincho"/>
                <w:lang w:eastAsia="ja-JP"/>
              </w:rPr>
            </w:pPr>
          </w:p>
          <w:p>
            <w:pPr>
              <w:rPr>
                <w:rFonts w:eastAsia="MS Mincho"/>
                <w:lang w:eastAsia="ja-JP"/>
              </w:rPr>
            </w:pPr>
          </w:p>
          <w:p>
            <w:pPr>
              <w:rPr>
                <w:rFonts w:eastAsia="MS Mincho"/>
                <w:lang w:eastAsia="ja-JP"/>
              </w:rPr>
            </w:pPr>
          </w:p>
          <w:p>
            <w:pPr>
              <w:rPr>
                <w:rFonts w:eastAsia="MS Mincho"/>
                <w:lang w:eastAsia="ja-JP"/>
              </w:rPr>
            </w:pPr>
            <w:r>
              <w:rPr>
                <w:rFonts w:eastAsia="MS Mincho"/>
              </w:rPr>
              <w:drawing>
                <wp:inline distT="0" distB="0" distL="0" distR="0">
                  <wp:extent cx="5848350" cy="723900"/>
                  <wp:effectExtent l="1905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7" cstate="print"/>
                          <a:srcRect/>
                          <a:stretch>
                            <a:fillRect/>
                          </a:stretch>
                        </pic:blipFill>
                        <pic:spPr>
                          <a:xfrm>
                            <a:off x="0" y="0"/>
                            <a:ext cx="5848350" cy="723900"/>
                          </a:xfrm>
                          <a:prstGeom prst="rect">
                            <a:avLst/>
                          </a:prstGeom>
                          <a:noFill/>
                          <a:ln w="9525">
                            <a:noFill/>
                            <a:miter lim="800000"/>
                            <a:headEnd/>
                            <a:tailEnd/>
                          </a:ln>
                        </pic:spPr>
                      </pic:pic>
                    </a:graphicData>
                  </a:graphic>
                </wp:inline>
              </w:drawing>
            </w:r>
          </w:p>
          <w:p/>
          <w:p>
            <w:r>
              <w:drawing>
                <wp:inline distT="0" distB="0" distL="0" distR="0">
                  <wp:extent cx="5848350" cy="1076325"/>
                  <wp:effectExtent l="19050" t="0" r="0" b="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noChangeArrowheads="1"/>
                          </pic:cNvPicPr>
                        </pic:nvPicPr>
                        <pic:blipFill>
                          <a:blip r:embed="rId8" cstate="print"/>
                          <a:srcRect/>
                          <a:stretch>
                            <a:fillRect/>
                          </a:stretch>
                        </pic:blipFill>
                        <pic:spPr>
                          <a:xfrm>
                            <a:off x="0" y="0"/>
                            <a:ext cx="5848350" cy="1076325"/>
                          </a:xfrm>
                          <a:prstGeom prst="rect">
                            <a:avLst/>
                          </a:prstGeom>
                          <a:noFill/>
                          <a:ln w="9525">
                            <a:noFill/>
                            <a:miter lim="800000"/>
                            <a:headEnd/>
                            <a:tailEnd/>
                          </a:ln>
                        </pic:spPr>
                      </pic:pic>
                    </a:graphicData>
                  </a:graphic>
                </wp:inline>
              </w:drawing>
            </w:r>
          </w:p>
          <w:p>
            <w:pPr>
              <w:rPr>
                <w:rFonts w:eastAsia="MS Mincho"/>
                <w:lang w:eastAsia="ja-JP"/>
              </w:rPr>
            </w:pPr>
          </w:p>
          <w:p>
            <w:pPr>
              <w:rPr>
                <w:rFonts w:eastAsia="MS Mincho"/>
                <w:lang w:eastAsia="ja-JP"/>
              </w:rPr>
            </w:pPr>
          </w:p>
          <w:p/>
          <w:p>
            <w:r>
              <w:rPr>
                <w:rFonts w:hint="eastAsia"/>
              </w:rPr>
              <w:t>查看</w:t>
            </w:r>
            <w:r>
              <w:rPr>
                <w:rFonts w:hint="eastAsia"/>
              </w:rPr>
              <w:sym w:font="Wingdings" w:char="00FE"/>
            </w:r>
            <w:r>
              <w:rPr>
                <w:rFonts w:hint="eastAsia"/>
              </w:rPr>
              <w:t>《风险和机遇评估分析表》</w:t>
            </w: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质量目标及其实现的策划</w:t>
            </w:r>
          </w:p>
          <w:p/>
        </w:tc>
        <w:tc>
          <w:tcPr>
            <w:tcW w:w="960" w:type="dxa"/>
            <w:vMerge w:val="restart"/>
          </w:tcPr>
          <w:p>
            <w:r>
              <w:rPr>
                <w:rFonts w:hint="eastAsia"/>
                <w:color w:val="000000"/>
                <w:szCs w:val="21"/>
              </w:rPr>
              <w:t>Q6.2 </w:t>
            </w:r>
          </w:p>
        </w:tc>
        <w:tc>
          <w:tcPr>
            <w:tcW w:w="745" w:type="dxa"/>
          </w:tcPr>
          <w:p>
            <w:r>
              <w:rPr>
                <w:rFonts w:hint="eastAsia"/>
              </w:rPr>
              <w:t>文件名称</w:t>
            </w:r>
          </w:p>
        </w:tc>
        <w:tc>
          <w:tcPr>
            <w:tcW w:w="9426" w:type="dxa"/>
          </w:tcPr>
          <w:p>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w:t>
            </w:r>
            <w:r>
              <w:rPr>
                <w:rFonts w:hint="eastAsia"/>
                <w:color w:val="000000"/>
                <w:szCs w:val="21"/>
              </w:rPr>
              <w:t>质量目标</w:t>
            </w:r>
            <w:r>
              <w:rPr>
                <w:rFonts w:hint="eastAsia"/>
              </w:rPr>
              <w:t>》</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pPr>
              <w:rPr>
                <w:rFonts w:eastAsia="MS Mincho"/>
                <w:lang w:eastAsia="ja-JP"/>
              </w:rPr>
            </w:pPr>
            <w:r>
              <w:rPr>
                <w:rFonts w:hint="eastAsia"/>
              </w:rPr>
              <w:t>组织建立了与方针一致的文件化的管理目标。为实现总质量目标而建立的各层级质量目标具体、有针对性、可测量并且可实现。</w:t>
            </w:r>
          </w:p>
          <w:p>
            <w:r>
              <w:rPr>
                <w:rFonts w:hint="eastAsia"/>
              </w:rPr>
              <w:t>总质量目标实现情况的评价，及其测量方法是：</w:t>
            </w:r>
          </w:p>
          <w:p>
            <w:pPr>
              <w:rPr>
                <w:rFonts w:eastAsia="MS Mincho"/>
                <w:lang w:eastAsia="ja-JP"/>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1443"/>
              <w:gridCol w:w="2934"/>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952" w:type="dxa"/>
                  <w:vAlign w:val="center"/>
                </w:tcPr>
                <w:p>
                  <w:pPr>
                    <w:widowControl/>
                    <w:spacing w:before="40"/>
                    <w:jc w:val="center"/>
                    <w:rPr>
                      <w:color w:val="000000"/>
                      <w:szCs w:val="18"/>
                    </w:rPr>
                  </w:pPr>
                  <w:r>
                    <w:rPr>
                      <w:rFonts w:hint="eastAsia"/>
                      <w:color w:val="000000"/>
                      <w:szCs w:val="18"/>
                    </w:rPr>
                    <w:t>目标</w:t>
                  </w:r>
                </w:p>
              </w:tc>
              <w:tc>
                <w:tcPr>
                  <w:tcW w:w="1443" w:type="dxa"/>
                  <w:vAlign w:val="center"/>
                </w:tcPr>
                <w:p>
                  <w:pPr>
                    <w:widowControl/>
                    <w:spacing w:before="40"/>
                    <w:jc w:val="center"/>
                    <w:rPr>
                      <w:color w:val="000000"/>
                      <w:szCs w:val="18"/>
                    </w:rPr>
                  </w:pPr>
                  <w:r>
                    <w:rPr>
                      <w:rFonts w:hint="eastAsia"/>
                      <w:color w:val="000000"/>
                      <w:szCs w:val="18"/>
                    </w:rPr>
                    <w:t>考核频次</w:t>
                  </w:r>
                </w:p>
              </w:tc>
              <w:tc>
                <w:tcPr>
                  <w:tcW w:w="2934" w:type="dxa"/>
                  <w:vAlign w:val="center"/>
                </w:tcPr>
                <w:p>
                  <w:pPr>
                    <w:widowControl/>
                    <w:spacing w:before="40"/>
                    <w:jc w:val="center"/>
                    <w:rPr>
                      <w:color w:val="000000"/>
                      <w:szCs w:val="18"/>
                    </w:rPr>
                  </w:pPr>
                  <w:r>
                    <w:rPr>
                      <w:rFonts w:hint="eastAsia"/>
                      <w:color w:val="000000"/>
                      <w:szCs w:val="18"/>
                    </w:rPr>
                    <w:t>计算方法</w:t>
                  </w:r>
                </w:p>
              </w:tc>
              <w:tc>
                <w:tcPr>
                  <w:tcW w:w="2444" w:type="dxa"/>
                  <w:vAlign w:val="center"/>
                </w:tcPr>
                <w:p>
                  <w:pPr>
                    <w:widowControl/>
                    <w:spacing w:before="40"/>
                    <w:jc w:val="center"/>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2" w:type="dxa"/>
                  <w:vAlign w:val="center"/>
                </w:tcPr>
                <w:p>
                  <w:pPr>
                    <w:widowControl/>
                    <w:spacing w:before="40"/>
                    <w:rPr>
                      <w:color w:val="000000"/>
                      <w:szCs w:val="18"/>
                    </w:rPr>
                  </w:pPr>
                  <w:r>
                    <w:rPr>
                      <w:rFonts w:hint="eastAsia"/>
                      <w:color w:val="000000"/>
                      <w:szCs w:val="18"/>
                    </w:rPr>
                    <w:t>产品验收合格率</w:t>
                  </w:r>
                  <w:r>
                    <w:rPr>
                      <w:color w:val="000000"/>
                      <w:szCs w:val="18"/>
                    </w:rPr>
                    <w:t>100</w:t>
                  </w:r>
                  <w:r>
                    <w:rPr>
                      <w:rFonts w:hint="eastAsia"/>
                      <w:color w:val="000000"/>
                      <w:szCs w:val="18"/>
                    </w:rPr>
                    <w:t xml:space="preserve"> %</w:t>
                  </w:r>
                </w:p>
              </w:tc>
              <w:tc>
                <w:tcPr>
                  <w:tcW w:w="1443" w:type="dxa"/>
                  <w:vAlign w:val="center"/>
                </w:tcPr>
                <w:p>
                  <w:pPr>
                    <w:widowControl/>
                    <w:spacing w:before="40"/>
                    <w:rPr>
                      <w:color w:val="000000"/>
                      <w:szCs w:val="18"/>
                    </w:rPr>
                  </w:pPr>
                  <w:r>
                    <w:rPr>
                      <w:rFonts w:hint="eastAsia"/>
                      <w:color w:val="000000"/>
                      <w:szCs w:val="18"/>
                    </w:rPr>
                    <w:t>一次/月</w:t>
                  </w:r>
                </w:p>
              </w:tc>
              <w:tc>
                <w:tcPr>
                  <w:tcW w:w="2934" w:type="dxa"/>
                  <w:vAlign w:val="center"/>
                </w:tcPr>
                <w:p>
                  <w:pPr>
                    <w:widowControl/>
                    <w:spacing w:before="40"/>
                    <w:rPr>
                      <w:color w:val="000000"/>
                      <w:szCs w:val="18"/>
                    </w:rPr>
                  </w:pPr>
                  <w:r>
                    <w:rPr>
                      <w:rFonts w:hint="eastAsia"/>
                      <w:color w:val="000000"/>
                      <w:szCs w:val="18"/>
                    </w:rPr>
                    <w:t>产品验收合格品数/产品总数×100%</w:t>
                  </w:r>
                </w:p>
              </w:tc>
              <w:tc>
                <w:tcPr>
                  <w:tcW w:w="2444" w:type="dxa"/>
                  <w:vAlign w:val="center"/>
                </w:tcPr>
                <w:p>
                  <w:pPr>
                    <w:widowControl/>
                    <w:spacing w:before="40"/>
                    <w:rPr>
                      <w:color w:val="000000"/>
                      <w:szCs w:val="18"/>
                    </w:rPr>
                  </w:pPr>
                  <w:r>
                    <w:rPr>
                      <w:rFonts w:hint="eastAsia"/>
                      <w:color w:val="000000"/>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952" w:type="dxa"/>
                  <w:vAlign w:val="center"/>
                </w:tcPr>
                <w:p>
                  <w:pPr>
                    <w:widowControl/>
                    <w:spacing w:before="40"/>
                    <w:rPr>
                      <w:color w:val="000000"/>
                      <w:szCs w:val="18"/>
                    </w:rPr>
                  </w:pPr>
                  <w:r>
                    <w:rPr>
                      <w:rFonts w:hint="eastAsia"/>
                      <w:color w:val="000000"/>
                      <w:szCs w:val="18"/>
                    </w:rPr>
                    <w:t>顾客满意度≥85%</w:t>
                  </w:r>
                </w:p>
              </w:tc>
              <w:tc>
                <w:tcPr>
                  <w:tcW w:w="1443" w:type="dxa"/>
                  <w:vAlign w:val="center"/>
                </w:tcPr>
                <w:p>
                  <w:pPr>
                    <w:widowControl/>
                    <w:spacing w:before="40"/>
                    <w:rPr>
                      <w:color w:val="000000"/>
                      <w:szCs w:val="18"/>
                    </w:rPr>
                  </w:pPr>
                  <w:r>
                    <w:rPr>
                      <w:rFonts w:hint="eastAsia"/>
                      <w:color w:val="000000"/>
                      <w:szCs w:val="18"/>
                    </w:rPr>
                    <w:t>一次/年</w:t>
                  </w:r>
                </w:p>
              </w:tc>
              <w:tc>
                <w:tcPr>
                  <w:tcW w:w="2934" w:type="dxa"/>
                  <w:vAlign w:val="center"/>
                </w:tcPr>
                <w:p>
                  <w:pPr>
                    <w:widowControl/>
                    <w:spacing w:before="40"/>
                    <w:rPr>
                      <w:color w:val="000000"/>
                      <w:szCs w:val="18"/>
                    </w:rPr>
                  </w:pPr>
                  <w:r>
                    <w:rPr>
                      <w:rFonts w:hint="eastAsia"/>
                      <w:color w:val="000000"/>
                      <w:szCs w:val="18"/>
                    </w:rPr>
                    <w:t>质量、服务、交付期等项目分数之和/项目数×100%</w:t>
                  </w:r>
                </w:p>
              </w:tc>
              <w:tc>
                <w:tcPr>
                  <w:tcW w:w="2444" w:type="dxa"/>
                  <w:vAlign w:val="center"/>
                </w:tcPr>
                <w:p>
                  <w:pPr>
                    <w:widowControl/>
                    <w:spacing w:before="40"/>
                    <w:rPr>
                      <w:color w:val="000000"/>
                      <w:szCs w:val="18"/>
                    </w:rPr>
                  </w:pPr>
                  <w:r>
                    <w:rPr>
                      <w:rFonts w:hint="eastAsia"/>
                      <w:color w:val="000000"/>
                      <w:szCs w:val="18"/>
                    </w:rPr>
                    <w:t xml:space="preserve">88.95%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2" w:type="dxa"/>
                  <w:vAlign w:val="center"/>
                </w:tcPr>
                <w:p>
                  <w:pPr>
                    <w:widowControl/>
                    <w:spacing w:before="40"/>
                    <w:rPr>
                      <w:color w:val="000000"/>
                      <w:szCs w:val="18"/>
                    </w:rPr>
                  </w:pPr>
                  <w:r>
                    <w:rPr>
                      <w:rFonts w:hint="eastAsia"/>
                      <w:color w:val="000000"/>
                      <w:szCs w:val="18"/>
                    </w:rPr>
                    <w:t>重大食品安全事故为0</w:t>
                  </w:r>
                </w:p>
              </w:tc>
              <w:tc>
                <w:tcPr>
                  <w:tcW w:w="1443" w:type="dxa"/>
                  <w:vAlign w:val="center"/>
                </w:tcPr>
                <w:p>
                  <w:pPr>
                    <w:widowControl/>
                    <w:spacing w:before="40"/>
                    <w:rPr>
                      <w:color w:val="000000"/>
                      <w:szCs w:val="18"/>
                    </w:rPr>
                  </w:pPr>
                  <w:r>
                    <w:rPr>
                      <w:rFonts w:hint="eastAsia"/>
                      <w:color w:val="000000"/>
                      <w:szCs w:val="18"/>
                    </w:rPr>
                    <w:t>一次/季度</w:t>
                  </w:r>
                </w:p>
              </w:tc>
              <w:tc>
                <w:tcPr>
                  <w:tcW w:w="2934" w:type="dxa"/>
                  <w:vAlign w:val="center"/>
                </w:tcPr>
                <w:p>
                  <w:pPr>
                    <w:widowControl/>
                    <w:spacing w:before="40"/>
                    <w:rPr>
                      <w:color w:val="000000"/>
                      <w:szCs w:val="18"/>
                    </w:rPr>
                  </w:pPr>
                  <w:r>
                    <w:rPr>
                      <w:rFonts w:hint="eastAsia"/>
                      <w:color w:val="000000"/>
                      <w:szCs w:val="18"/>
                    </w:rPr>
                    <w:t>统计重大食品安全事故次数</w:t>
                  </w:r>
                </w:p>
              </w:tc>
              <w:tc>
                <w:tcPr>
                  <w:tcW w:w="2444" w:type="dxa"/>
                  <w:vAlign w:val="center"/>
                </w:tcPr>
                <w:p>
                  <w:pPr>
                    <w:widowControl/>
                    <w:spacing w:before="40"/>
                    <w:rPr>
                      <w:color w:val="000000"/>
                      <w:szCs w:val="18"/>
                    </w:rPr>
                  </w:pPr>
                  <w:r>
                    <w:rPr>
                      <w:rFonts w:hint="eastAsia"/>
                      <w:color w:val="000000"/>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2" w:type="dxa"/>
                  <w:vAlign w:val="center"/>
                </w:tcPr>
                <w:p>
                  <w:pPr>
                    <w:widowControl/>
                    <w:spacing w:before="40"/>
                    <w:rPr>
                      <w:color w:val="000000"/>
                      <w:szCs w:val="18"/>
                    </w:rPr>
                  </w:pPr>
                  <w:r>
                    <w:rPr>
                      <w:rFonts w:hint="eastAsia"/>
                      <w:color w:val="000000"/>
                      <w:szCs w:val="18"/>
                    </w:rPr>
                    <w:t>仓库每季度用电比上年同期减少1%；</w:t>
                  </w:r>
                </w:p>
              </w:tc>
              <w:tc>
                <w:tcPr>
                  <w:tcW w:w="1443" w:type="dxa"/>
                  <w:vAlign w:val="center"/>
                </w:tcPr>
                <w:p>
                  <w:pPr>
                    <w:widowControl/>
                    <w:spacing w:before="40"/>
                    <w:rPr>
                      <w:color w:val="000000"/>
                      <w:szCs w:val="18"/>
                    </w:rPr>
                  </w:pPr>
                  <w:r>
                    <w:rPr>
                      <w:rFonts w:hint="eastAsia"/>
                      <w:color w:val="000000"/>
                      <w:szCs w:val="18"/>
                    </w:rPr>
                    <w:t>一次/季度</w:t>
                  </w:r>
                </w:p>
              </w:tc>
              <w:tc>
                <w:tcPr>
                  <w:tcW w:w="2934" w:type="dxa"/>
                  <w:vAlign w:val="center"/>
                </w:tcPr>
                <w:p>
                  <w:pPr>
                    <w:widowControl/>
                    <w:spacing w:before="40"/>
                    <w:rPr>
                      <w:color w:val="000000"/>
                      <w:szCs w:val="18"/>
                    </w:rPr>
                  </w:pPr>
                  <w:r>
                    <w:rPr>
                      <w:rFonts w:hint="eastAsia"/>
                      <w:color w:val="000000"/>
                      <w:szCs w:val="18"/>
                    </w:rPr>
                    <w:t>统计用电量</w:t>
                  </w:r>
                </w:p>
              </w:tc>
              <w:tc>
                <w:tcPr>
                  <w:tcW w:w="2444" w:type="dxa"/>
                  <w:vAlign w:val="center"/>
                </w:tcPr>
                <w:p>
                  <w:pPr>
                    <w:widowControl/>
                    <w:spacing w:before="40"/>
                    <w:rPr>
                      <w:color w:val="000000"/>
                      <w:szCs w:val="18"/>
                    </w:rPr>
                  </w:pPr>
                  <w:r>
                    <w:rPr>
                      <w:rFonts w:hint="eastAsia"/>
                      <w:color w:val="000000"/>
                      <w:szCs w:val="18"/>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2" w:type="dxa"/>
                  <w:vAlign w:val="center"/>
                </w:tcPr>
                <w:p>
                  <w:pPr>
                    <w:widowControl/>
                    <w:spacing w:before="40"/>
                    <w:rPr>
                      <w:color w:val="000000"/>
                      <w:szCs w:val="18"/>
                    </w:rPr>
                  </w:pPr>
                  <w:r>
                    <w:rPr>
                      <w:rFonts w:hint="eastAsia"/>
                      <w:color w:val="000000"/>
                      <w:szCs w:val="18"/>
                    </w:rPr>
                    <w:t>固体废弃物分类收集100%</w:t>
                  </w:r>
                </w:p>
              </w:tc>
              <w:tc>
                <w:tcPr>
                  <w:tcW w:w="1443" w:type="dxa"/>
                  <w:vAlign w:val="center"/>
                </w:tcPr>
                <w:p>
                  <w:pPr>
                    <w:widowControl/>
                    <w:spacing w:before="40"/>
                    <w:rPr>
                      <w:color w:val="000000"/>
                      <w:szCs w:val="18"/>
                    </w:rPr>
                  </w:pPr>
                  <w:r>
                    <w:rPr>
                      <w:rFonts w:hint="eastAsia"/>
                      <w:color w:val="000000"/>
                      <w:szCs w:val="18"/>
                    </w:rPr>
                    <w:t>一次/季度</w:t>
                  </w:r>
                </w:p>
              </w:tc>
              <w:tc>
                <w:tcPr>
                  <w:tcW w:w="2934" w:type="dxa"/>
                  <w:vAlign w:val="center"/>
                </w:tcPr>
                <w:p>
                  <w:pPr>
                    <w:widowControl/>
                    <w:spacing w:before="40"/>
                    <w:rPr>
                      <w:color w:val="000000"/>
                      <w:szCs w:val="18"/>
                    </w:rPr>
                  </w:pPr>
                  <w:r>
                    <w:rPr>
                      <w:rFonts w:hint="eastAsia"/>
                      <w:color w:val="000000"/>
                      <w:szCs w:val="18"/>
                    </w:rPr>
                    <w:t>每季度检查两次分类处理情况/2次分类处理情况×100%</w:t>
                  </w:r>
                </w:p>
              </w:tc>
              <w:tc>
                <w:tcPr>
                  <w:tcW w:w="2444" w:type="dxa"/>
                  <w:vAlign w:val="center"/>
                </w:tcPr>
                <w:p>
                  <w:pPr>
                    <w:widowControl/>
                    <w:spacing w:before="40"/>
                    <w:rPr>
                      <w:color w:val="000000"/>
                      <w:szCs w:val="18"/>
                    </w:rPr>
                  </w:pPr>
                  <w:r>
                    <w:rPr>
                      <w:rFonts w:hint="eastAsia"/>
                      <w:color w:val="000000"/>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2" w:type="dxa"/>
                  <w:vAlign w:val="center"/>
                </w:tcPr>
                <w:p>
                  <w:pPr>
                    <w:widowControl/>
                    <w:spacing w:before="40"/>
                    <w:rPr>
                      <w:color w:val="000000"/>
                      <w:szCs w:val="18"/>
                    </w:rPr>
                  </w:pPr>
                  <w:r>
                    <w:rPr>
                      <w:rFonts w:hint="eastAsia"/>
                      <w:color w:val="000000"/>
                      <w:szCs w:val="18"/>
                    </w:rPr>
                    <w:t>交通意外事故为零；</w:t>
                  </w:r>
                </w:p>
              </w:tc>
              <w:tc>
                <w:tcPr>
                  <w:tcW w:w="1443" w:type="dxa"/>
                  <w:vAlign w:val="center"/>
                </w:tcPr>
                <w:p>
                  <w:pPr>
                    <w:widowControl/>
                    <w:spacing w:before="40"/>
                    <w:rPr>
                      <w:color w:val="000000"/>
                      <w:szCs w:val="18"/>
                    </w:rPr>
                  </w:pPr>
                  <w:r>
                    <w:rPr>
                      <w:rFonts w:hint="eastAsia"/>
                      <w:color w:val="000000"/>
                      <w:szCs w:val="18"/>
                    </w:rPr>
                    <w:t>一次/季度</w:t>
                  </w:r>
                </w:p>
              </w:tc>
              <w:tc>
                <w:tcPr>
                  <w:tcW w:w="2934" w:type="dxa"/>
                  <w:vAlign w:val="center"/>
                </w:tcPr>
                <w:p>
                  <w:pPr>
                    <w:widowControl/>
                    <w:spacing w:before="40"/>
                    <w:rPr>
                      <w:color w:val="000000"/>
                      <w:szCs w:val="18"/>
                    </w:rPr>
                  </w:pPr>
                  <w:r>
                    <w:rPr>
                      <w:rFonts w:hint="eastAsia"/>
                      <w:color w:val="000000"/>
                      <w:szCs w:val="18"/>
                    </w:rPr>
                    <w:t>统计交通意外事故次数</w:t>
                  </w:r>
                </w:p>
              </w:tc>
              <w:tc>
                <w:tcPr>
                  <w:tcW w:w="2444" w:type="dxa"/>
                  <w:vAlign w:val="center"/>
                </w:tcPr>
                <w:p>
                  <w:pPr>
                    <w:widowControl/>
                    <w:spacing w:before="40"/>
                    <w:rPr>
                      <w:color w:val="000000"/>
                      <w:szCs w:val="18"/>
                    </w:rPr>
                  </w:pPr>
                  <w:r>
                    <w:rPr>
                      <w:rFonts w:hint="eastAsia"/>
                      <w:color w:val="000000"/>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2" w:type="dxa"/>
                  <w:vAlign w:val="center"/>
                </w:tcPr>
                <w:p>
                  <w:pPr>
                    <w:widowControl/>
                    <w:spacing w:before="40"/>
                    <w:rPr>
                      <w:color w:val="000000"/>
                      <w:szCs w:val="18"/>
                    </w:rPr>
                  </w:pPr>
                  <w:r>
                    <w:rPr>
                      <w:rFonts w:hint="eastAsia"/>
                      <w:color w:val="000000"/>
                      <w:szCs w:val="18"/>
                    </w:rPr>
                    <w:t xml:space="preserve">控制潜在的火灾和爆炸事故为0 </w:t>
                  </w:r>
                </w:p>
              </w:tc>
              <w:tc>
                <w:tcPr>
                  <w:tcW w:w="1443" w:type="dxa"/>
                  <w:vAlign w:val="center"/>
                </w:tcPr>
                <w:p>
                  <w:pPr>
                    <w:widowControl/>
                    <w:spacing w:before="40"/>
                    <w:rPr>
                      <w:color w:val="000000"/>
                      <w:szCs w:val="18"/>
                    </w:rPr>
                  </w:pPr>
                  <w:r>
                    <w:rPr>
                      <w:rFonts w:hint="eastAsia"/>
                      <w:color w:val="000000"/>
                      <w:szCs w:val="18"/>
                    </w:rPr>
                    <w:t>一次/季度</w:t>
                  </w:r>
                </w:p>
              </w:tc>
              <w:tc>
                <w:tcPr>
                  <w:tcW w:w="2934" w:type="dxa"/>
                  <w:vAlign w:val="center"/>
                </w:tcPr>
                <w:p>
                  <w:pPr>
                    <w:widowControl/>
                    <w:spacing w:before="40"/>
                    <w:rPr>
                      <w:color w:val="000000"/>
                      <w:szCs w:val="18"/>
                    </w:rPr>
                  </w:pPr>
                  <w:r>
                    <w:rPr>
                      <w:rFonts w:hint="eastAsia"/>
                      <w:color w:val="000000"/>
                      <w:szCs w:val="18"/>
                    </w:rPr>
                    <w:t>统计火灾事故次数</w:t>
                  </w:r>
                </w:p>
              </w:tc>
              <w:tc>
                <w:tcPr>
                  <w:tcW w:w="2444" w:type="dxa"/>
                  <w:vAlign w:val="center"/>
                </w:tcPr>
                <w:p>
                  <w:pPr>
                    <w:widowControl/>
                    <w:spacing w:before="40"/>
                    <w:rPr>
                      <w:color w:val="000000"/>
                      <w:szCs w:val="18"/>
                    </w:rPr>
                  </w:pPr>
                  <w:r>
                    <w:rPr>
                      <w:rFonts w:hint="eastAsia"/>
                      <w:color w:val="000000"/>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2" w:type="dxa"/>
                  <w:vAlign w:val="center"/>
                </w:tcPr>
                <w:p>
                  <w:pPr>
                    <w:widowControl/>
                    <w:spacing w:before="40"/>
                    <w:rPr>
                      <w:color w:val="000000"/>
                      <w:szCs w:val="18"/>
                    </w:rPr>
                  </w:pPr>
                  <w:r>
                    <w:rPr>
                      <w:rFonts w:hint="eastAsia"/>
                      <w:color w:val="000000"/>
                      <w:szCs w:val="18"/>
                    </w:rPr>
                    <w:t>伤亡事故为零</w:t>
                  </w:r>
                </w:p>
              </w:tc>
              <w:tc>
                <w:tcPr>
                  <w:tcW w:w="1443" w:type="dxa"/>
                  <w:vAlign w:val="center"/>
                </w:tcPr>
                <w:p>
                  <w:pPr>
                    <w:widowControl/>
                    <w:spacing w:before="40"/>
                    <w:rPr>
                      <w:color w:val="000000"/>
                      <w:szCs w:val="18"/>
                    </w:rPr>
                  </w:pPr>
                  <w:r>
                    <w:rPr>
                      <w:rFonts w:hint="eastAsia"/>
                      <w:color w:val="000000"/>
                      <w:szCs w:val="18"/>
                    </w:rPr>
                    <w:t>一次/季度</w:t>
                  </w:r>
                </w:p>
              </w:tc>
              <w:tc>
                <w:tcPr>
                  <w:tcW w:w="2934" w:type="dxa"/>
                  <w:vAlign w:val="center"/>
                </w:tcPr>
                <w:p>
                  <w:pPr>
                    <w:widowControl/>
                    <w:spacing w:before="40"/>
                    <w:rPr>
                      <w:color w:val="000000"/>
                      <w:szCs w:val="18"/>
                    </w:rPr>
                  </w:pPr>
                  <w:r>
                    <w:rPr>
                      <w:rFonts w:hint="eastAsia"/>
                      <w:color w:val="000000"/>
                      <w:szCs w:val="18"/>
                    </w:rPr>
                    <w:t>统计事故次数</w:t>
                  </w:r>
                </w:p>
              </w:tc>
              <w:tc>
                <w:tcPr>
                  <w:tcW w:w="2444" w:type="dxa"/>
                  <w:vAlign w:val="center"/>
                </w:tcPr>
                <w:p>
                  <w:pPr>
                    <w:widowControl/>
                    <w:spacing w:before="40"/>
                    <w:rPr>
                      <w:color w:val="000000"/>
                      <w:szCs w:val="18"/>
                    </w:rPr>
                  </w:pPr>
                  <w:r>
                    <w:rPr>
                      <w:rFonts w:hint="eastAsia"/>
                      <w:color w:val="000000"/>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952" w:type="dxa"/>
                  <w:vAlign w:val="center"/>
                </w:tcPr>
                <w:p>
                  <w:pPr>
                    <w:widowControl/>
                    <w:spacing w:before="40"/>
                    <w:rPr>
                      <w:color w:val="000000"/>
                      <w:szCs w:val="18"/>
                    </w:rPr>
                  </w:pPr>
                  <w:r>
                    <w:rPr>
                      <w:rFonts w:hint="eastAsia"/>
                      <w:color w:val="000000"/>
                      <w:szCs w:val="18"/>
                    </w:rPr>
                    <w:t>全年未发生传染病、食物中毒等重大事故；</w:t>
                  </w:r>
                </w:p>
              </w:tc>
              <w:tc>
                <w:tcPr>
                  <w:tcW w:w="1443" w:type="dxa"/>
                  <w:vAlign w:val="center"/>
                </w:tcPr>
                <w:p>
                  <w:pPr>
                    <w:widowControl/>
                    <w:spacing w:before="40"/>
                    <w:jc w:val="left"/>
                    <w:rPr>
                      <w:color w:val="FF0000"/>
                      <w:szCs w:val="18"/>
                      <w:highlight w:val="yellow"/>
                    </w:rPr>
                  </w:pPr>
                  <w:r>
                    <w:rPr>
                      <w:rFonts w:hint="eastAsia"/>
                      <w:color w:val="000000"/>
                      <w:szCs w:val="18"/>
                    </w:rPr>
                    <w:t>一次/季度</w:t>
                  </w:r>
                </w:p>
              </w:tc>
              <w:tc>
                <w:tcPr>
                  <w:tcW w:w="2934" w:type="dxa"/>
                  <w:vAlign w:val="center"/>
                </w:tcPr>
                <w:p>
                  <w:pPr>
                    <w:widowControl/>
                    <w:spacing w:before="40"/>
                    <w:jc w:val="left"/>
                    <w:rPr>
                      <w:color w:val="FF0000"/>
                      <w:szCs w:val="18"/>
                      <w:highlight w:val="yellow"/>
                    </w:rPr>
                  </w:pPr>
                  <w:r>
                    <w:rPr>
                      <w:rFonts w:hint="eastAsia"/>
                      <w:color w:val="000000"/>
                      <w:szCs w:val="18"/>
                    </w:rPr>
                    <w:t>统计事故次数</w:t>
                  </w:r>
                </w:p>
              </w:tc>
              <w:tc>
                <w:tcPr>
                  <w:tcW w:w="2444" w:type="dxa"/>
                  <w:vAlign w:val="center"/>
                </w:tcPr>
                <w:p>
                  <w:pPr>
                    <w:widowControl/>
                    <w:spacing w:before="40"/>
                    <w:jc w:val="left"/>
                    <w:rPr>
                      <w:color w:val="FF0000"/>
                      <w:szCs w:val="18"/>
                      <w:highlight w:val="yellow"/>
                    </w:rPr>
                  </w:pPr>
                  <w:r>
                    <w:rPr>
                      <w:rFonts w:hint="eastAsia"/>
                      <w:color w:val="000000"/>
                      <w:szCs w:val="18"/>
                    </w:rPr>
                    <w:t>0</w:t>
                  </w:r>
                </w:p>
              </w:tc>
            </w:tr>
          </w:tbl>
          <w:p>
            <w:pPr>
              <w:rPr>
                <w:rFonts w:eastAsiaTheme="minorEastAsia"/>
              </w:rPr>
            </w:pPr>
          </w:p>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变更的策划</w:t>
            </w:r>
          </w:p>
          <w:p/>
        </w:tc>
        <w:tc>
          <w:tcPr>
            <w:tcW w:w="960" w:type="dxa"/>
            <w:vMerge w:val="restart"/>
          </w:tcPr>
          <w:p>
            <w:r>
              <w:rPr>
                <w:rFonts w:hint="eastAsia"/>
                <w:color w:val="000000"/>
                <w:szCs w:val="21"/>
              </w:rPr>
              <w:t>Q6.3  </w:t>
            </w:r>
          </w:p>
        </w:tc>
        <w:tc>
          <w:tcPr>
            <w:tcW w:w="745" w:type="dxa"/>
          </w:tcPr>
          <w:p>
            <w:r>
              <w:rPr>
                <w:rFonts w:hint="eastAsia"/>
              </w:rPr>
              <w:t>文件名称</w:t>
            </w:r>
          </w:p>
        </w:tc>
        <w:tc>
          <w:tcPr>
            <w:tcW w:w="9426" w:type="dxa"/>
          </w:tcPr>
          <w:p>
            <w:r>
              <w:rPr>
                <w:rFonts w:hint="eastAsia"/>
              </w:rPr>
              <w:t>如：手册第6.3条款、</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□主要设备设施 □主要检测设备 ☑无变更</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体系变更的内容说明</w:t>
                  </w:r>
                </w:p>
              </w:tc>
              <w:tc>
                <w:tcPr>
                  <w:tcW w:w="3632" w:type="dxa"/>
                </w:tcPr>
                <w:p>
                  <w:pPr>
                    <w:rPr>
                      <w:highlight w:val="cyan"/>
                    </w:rPr>
                  </w:pPr>
                  <w:r>
                    <w:rPr>
                      <w:rFonts w:hint="eastAsia"/>
                    </w:rPr>
                    <w:t>无</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质量管理体系的完整性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资源（总则）</w:t>
            </w:r>
          </w:p>
        </w:tc>
        <w:tc>
          <w:tcPr>
            <w:tcW w:w="960" w:type="dxa"/>
            <w:vMerge w:val="restart"/>
          </w:tcPr>
          <w:p>
            <w:r>
              <w:rPr>
                <w:rFonts w:hint="eastAsia"/>
                <w:color w:val="000000"/>
                <w:szCs w:val="21"/>
              </w:rPr>
              <w:t>Q7.1 </w:t>
            </w:r>
          </w:p>
        </w:tc>
        <w:tc>
          <w:tcPr>
            <w:tcW w:w="745" w:type="dxa"/>
          </w:tcPr>
          <w:p>
            <w:r>
              <w:rPr>
                <w:rFonts w:hint="eastAsia"/>
              </w:rPr>
              <w:t>文件名称</w:t>
            </w:r>
          </w:p>
        </w:tc>
        <w:tc>
          <w:tcPr>
            <w:tcW w:w="9426" w:type="dxa"/>
            <w:vAlign w:val="top"/>
          </w:tcPr>
          <w:p>
            <w:r>
              <w:rPr>
                <w:rFonts w:hint="eastAsia"/>
              </w:rPr>
              <w:t>如：手册第7.1条款、</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vAlign w:val="top"/>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1"/>
              </w:numPr>
              <w:rPr>
                <w:color w:val="000000"/>
                <w:szCs w:val="21"/>
              </w:rPr>
            </w:pPr>
            <w:r>
              <w:rPr>
                <w:rFonts w:hint="eastAsia"/>
                <w:color w:val="000000"/>
                <w:szCs w:val="21"/>
              </w:rPr>
              <w:t>现有内部资源的能力；</w:t>
            </w:r>
          </w:p>
          <w:p>
            <w:pPr>
              <w:rPr>
                <w:rFonts w:hint="eastAsia" w:eastAsia="宋体"/>
                <w:lang w:eastAsia="zh-CN"/>
              </w:rPr>
            </w:pPr>
            <w:r>
              <w:rPr>
                <w:rFonts w:hint="eastAsia"/>
              </w:rPr>
              <w:t>建筑面积</w:t>
            </w:r>
            <w:r>
              <w:rPr>
                <w:rFonts w:hint="eastAsia"/>
                <w:u w:val="single"/>
              </w:rPr>
              <w:t xml:space="preserve"> 5000 </w:t>
            </w:r>
            <w:r>
              <w:rPr>
                <w:rFonts w:hint="eastAsia"/>
              </w:rPr>
              <w:t>平米</w:t>
            </w:r>
            <w:r>
              <w:rPr>
                <w:rFonts w:hint="eastAsia"/>
                <w:lang w:eastAsia="zh-CN"/>
              </w:rPr>
              <w:t>，</w:t>
            </w:r>
            <w:r>
              <w:rPr>
                <w:rFonts w:hint="eastAsia"/>
              </w:rPr>
              <w:t>冷冻库</w:t>
            </w:r>
            <w:r>
              <w:rPr>
                <w:rFonts w:hint="eastAsia"/>
                <w:u w:val="single"/>
                <w:lang w:val="en-US" w:eastAsia="zh-CN"/>
              </w:rPr>
              <w:t xml:space="preserve"> </w:t>
            </w:r>
            <w:r>
              <w:rPr>
                <w:rFonts w:hint="eastAsia"/>
                <w:u w:val="single"/>
              </w:rPr>
              <w:t>5</w:t>
            </w:r>
            <w:r>
              <w:rPr>
                <w:rFonts w:hint="eastAsia"/>
              </w:rPr>
              <w:t>个，冷藏库</w:t>
            </w:r>
            <w:r>
              <w:rPr>
                <w:rFonts w:hint="eastAsia"/>
                <w:u w:val="single"/>
                <w:lang w:val="en-US" w:eastAsia="zh-CN"/>
              </w:rPr>
              <w:t xml:space="preserve"> </w:t>
            </w:r>
            <w:r>
              <w:rPr>
                <w:rFonts w:hint="eastAsia"/>
                <w:u w:val="single"/>
              </w:rPr>
              <w:t>1</w:t>
            </w:r>
            <w:r>
              <w:rPr>
                <w:rFonts w:hint="eastAsia"/>
              </w:rPr>
              <w:t>个</w:t>
            </w:r>
            <w:r>
              <w:rPr>
                <w:rFonts w:hint="eastAsia"/>
                <w:lang w:eastAsia="zh-CN"/>
              </w:rPr>
              <w:t>，</w:t>
            </w:r>
            <w:r>
              <w:rPr>
                <w:rFonts w:hint="eastAsia"/>
              </w:rPr>
              <w:t>实验室</w:t>
            </w:r>
            <w:r>
              <w:rPr>
                <w:rFonts w:hint="eastAsia"/>
                <w:u w:val="single"/>
              </w:rPr>
              <w:t xml:space="preserve"> 1 </w:t>
            </w:r>
            <w:r>
              <w:rPr>
                <w:rFonts w:hint="eastAsia"/>
              </w:rPr>
              <w:t>个</w:t>
            </w:r>
            <w:r>
              <w:rPr>
                <w:rFonts w:hint="eastAsia"/>
                <w:lang w:eastAsia="zh-CN"/>
              </w:rPr>
              <w:t>。</w:t>
            </w:r>
          </w:p>
          <w:p>
            <w:pPr>
              <w:rPr>
                <w:u w:val="single"/>
              </w:rPr>
            </w:pPr>
            <w:r>
              <w:rPr>
                <w:rFonts w:hint="eastAsia"/>
              </w:rPr>
              <w:t>主要配送设备有</w:t>
            </w:r>
            <w:r>
              <w:rPr>
                <w:rFonts w:hint="eastAsia"/>
                <w:u w:val="single"/>
              </w:rPr>
              <w:t>冷藏车，仓库，台秤，栈板，电脑  （2~4种）</w:t>
            </w:r>
          </w:p>
          <w:p>
            <w:pPr>
              <w:rPr>
                <w:color w:val="000000"/>
                <w:szCs w:val="21"/>
              </w:rPr>
            </w:pPr>
          </w:p>
          <w:p>
            <w:pPr>
              <w:rPr>
                <w:color w:val="000000"/>
                <w:szCs w:val="21"/>
              </w:rPr>
            </w:pPr>
            <w:r>
              <w:rPr>
                <w:rFonts w:hint="eastAsia"/>
                <w:color w:val="000000"/>
                <w:szCs w:val="21"/>
              </w:rPr>
              <w:t>还存在哪些局限和不足：</w:t>
            </w:r>
            <w:r>
              <w:rPr>
                <w:rFonts w:hint="eastAsia"/>
                <w:u w:val="single"/>
              </w:rPr>
              <w:t xml:space="preserve"> </w:t>
            </w:r>
            <w:r>
              <w:rPr>
                <w:rFonts w:hint="eastAsia"/>
                <w:u w:val="single"/>
                <w:lang w:val="en-US" w:eastAsia="zh-CN"/>
              </w:rPr>
              <w:t xml:space="preserve">    </w:t>
            </w:r>
            <w:r>
              <w:rPr>
                <w:rFonts w:hint="eastAsia"/>
                <w:u w:val="single"/>
              </w:rPr>
              <w:t xml:space="preserve"> 无       </w:t>
            </w:r>
          </w:p>
          <w:p>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lang w:val="en-US" w:eastAsia="zh-CN"/>
              </w:rPr>
              <w:t xml:space="preserve">    </w:t>
            </w:r>
            <w:r>
              <w:rPr>
                <w:rFonts w:hint="eastAsia"/>
                <w:u w:val="single"/>
              </w:rPr>
              <w:t xml:space="preserve">无        </w:t>
            </w: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人员</w:t>
            </w:r>
          </w:p>
        </w:tc>
        <w:tc>
          <w:tcPr>
            <w:tcW w:w="960" w:type="dxa"/>
            <w:vMerge w:val="restart"/>
          </w:tcPr>
          <w:p>
            <w:r>
              <w:rPr>
                <w:rFonts w:hint="eastAsia"/>
                <w:color w:val="000000"/>
                <w:szCs w:val="21"/>
              </w:rPr>
              <w:t>Q7.1.2</w:t>
            </w:r>
          </w:p>
        </w:tc>
        <w:tc>
          <w:tcPr>
            <w:tcW w:w="745" w:type="dxa"/>
          </w:tcPr>
          <w:p>
            <w:r>
              <w:rPr>
                <w:rFonts w:hint="eastAsia"/>
              </w:rPr>
              <w:t>文件名称</w:t>
            </w:r>
          </w:p>
        </w:tc>
        <w:tc>
          <w:tcPr>
            <w:tcW w:w="9426" w:type="dxa"/>
          </w:tcPr>
          <w:p>
            <w:r>
              <w:rPr>
                <w:rFonts w:hint="eastAsia"/>
              </w:rPr>
              <w:t>如：手册第7.1条款、</w:t>
            </w:r>
            <w:r>
              <w:rPr>
                <w:rFonts w:hint="eastAsia"/>
              </w:rPr>
              <w:sym w:font="Wingdings" w:char="00FE"/>
            </w:r>
            <w:r>
              <w:rPr>
                <w:rFonts w:hint="eastAsia"/>
              </w:rPr>
              <w:t>《人员安排控制程序》</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417"/>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Pr>
                <w:p>
                  <w:pPr>
                    <w:rPr>
                      <w:szCs w:val="21"/>
                    </w:rPr>
                  </w:pPr>
                  <w:r>
                    <w:rPr>
                      <w:rFonts w:hint="eastAsia"/>
                    </w:rPr>
                    <w:t>管理人员数量</w:t>
                  </w:r>
                </w:p>
              </w:tc>
              <w:tc>
                <w:tcPr>
                  <w:tcW w:w="1417" w:type="dxa"/>
                </w:tcPr>
                <w:p>
                  <w:pPr>
                    <w:rPr>
                      <w:szCs w:val="21"/>
                    </w:rPr>
                  </w:pPr>
                  <w:r>
                    <w:rPr>
                      <w:rFonts w:hint="eastAsia"/>
                    </w:rPr>
                    <w:t>操作人员</w:t>
                  </w:r>
                </w:p>
              </w:tc>
              <w:tc>
                <w:tcPr>
                  <w:tcW w:w="1292" w:type="dxa"/>
                </w:tcPr>
                <w:p>
                  <w:pPr>
                    <w:rPr>
                      <w:szCs w:val="21"/>
                    </w:rPr>
                  </w:pPr>
                  <w:r>
                    <w:rPr>
                      <w:rFonts w:hint="eastAsia"/>
                      <w:szCs w:val="21"/>
                    </w:rPr>
                    <w:t>技术人员</w:t>
                  </w:r>
                </w:p>
              </w:tc>
              <w:tc>
                <w:tcPr>
                  <w:tcW w:w="1292" w:type="dxa"/>
                </w:tcPr>
                <w:p>
                  <w:pPr>
                    <w:rPr>
                      <w:szCs w:val="21"/>
                    </w:rPr>
                  </w:pPr>
                  <w:r>
                    <w:rPr>
                      <w:rFonts w:hint="eastAsia"/>
                      <w:szCs w:val="21"/>
                    </w:rPr>
                    <w:t>临时工</w:t>
                  </w:r>
                </w:p>
              </w:tc>
              <w:tc>
                <w:tcPr>
                  <w:tcW w:w="1292" w:type="dxa"/>
                </w:tcPr>
                <w:p>
                  <w:pPr>
                    <w:tabs>
                      <w:tab w:val="left" w:pos="240"/>
                    </w:tabs>
                    <w:rPr>
                      <w:szCs w:val="21"/>
                    </w:rPr>
                  </w:pPr>
                  <w:r>
                    <w:rPr>
                      <w:szCs w:val="21"/>
                    </w:rPr>
                    <w:tab/>
                  </w:r>
                  <w:r>
                    <w:rPr>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Pr>
                <w:p>
                  <w:pPr>
                    <w:ind w:firstLine="630" w:firstLineChars="300"/>
                    <w:rPr>
                      <w:szCs w:val="21"/>
                    </w:rPr>
                  </w:pPr>
                  <w:r>
                    <w:rPr>
                      <w:rFonts w:hint="eastAsia"/>
                      <w:szCs w:val="21"/>
                    </w:rPr>
                    <w:t>11</w:t>
                  </w:r>
                </w:p>
              </w:tc>
              <w:tc>
                <w:tcPr>
                  <w:tcW w:w="1417" w:type="dxa"/>
                </w:tcPr>
                <w:p>
                  <w:pPr>
                    <w:ind w:firstLine="420" w:firstLineChars="200"/>
                    <w:rPr>
                      <w:szCs w:val="21"/>
                    </w:rPr>
                  </w:pPr>
                  <w:r>
                    <w:rPr>
                      <w:rFonts w:hint="eastAsia"/>
                      <w:szCs w:val="21"/>
                    </w:rPr>
                    <w:t>12</w:t>
                  </w:r>
                </w:p>
              </w:tc>
              <w:tc>
                <w:tcPr>
                  <w:tcW w:w="1292" w:type="dxa"/>
                </w:tcPr>
                <w:p>
                  <w:pPr>
                    <w:ind w:firstLine="210" w:firstLineChars="100"/>
                    <w:rPr>
                      <w:szCs w:val="21"/>
                    </w:rPr>
                  </w:pPr>
                  <w:r>
                    <w:rPr>
                      <w:rFonts w:hint="eastAsia"/>
                      <w:szCs w:val="21"/>
                    </w:rPr>
                    <w:t>3</w:t>
                  </w:r>
                </w:p>
              </w:tc>
              <w:tc>
                <w:tcPr>
                  <w:tcW w:w="1292" w:type="dxa"/>
                </w:tcPr>
                <w:p>
                  <w:pPr>
                    <w:ind w:firstLine="210" w:firstLineChars="100"/>
                    <w:rPr>
                      <w:szCs w:val="21"/>
                    </w:rPr>
                  </w:pPr>
                  <w:r>
                    <w:rPr>
                      <w:rFonts w:hint="eastAsia"/>
                      <w:szCs w:val="21"/>
                    </w:rPr>
                    <w:t>0</w:t>
                  </w:r>
                </w:p>
              </w:tc>
              <w:tc>
                <w:tcPr>
                  <w:tcW w:w="1292" w:type="dxa"/>
                </w:tcPr>
                <w:p>
                  <w:pPr>
                    <w:ind w:firstLine="420" w:firstLineChars="200"/>
                    <w:rPr>
                      <w:szCs w:val="21"/>
                    </w:rPr>
                  </w:pPr>
                  <w:r>
                    <w:rPr>
                      <w:rFonts w:hint="eastAsia"/>
                      <w:szCs w:val="21"/>
                    </w:rPr>
                    <w:t>26</w:t>
                  </w:r>
                </w:p>
              </w:tc>
            </w:tr>
          </w:tbl>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意识</w:t>
            </w:r>
          </w:p>
        </w:tc>
        <w:tc>
          <w:tcPr>
            <w:tcW w:w="960" w:type="dxa"/>
            <w:vMerge w:val="restart"/>
          </w:tcPr>
          <w:p>
            <w:r>
              <w:rPr>
                <w:rFonts w:hint="eastAsia"/>
              </w:rPr>
              <w:t xml:space="preserve">Q7.3  </w:t>
            </w:r>
          </w:p>
        </w:tc>
        <w:tc>
          <w:tcPr>
            <w:tcW w:w="745" w:type="dxa"/>
          </w:tcPr>
          <w:p>
            <w:r>
              <w:rPr>
                <w:rFonts w:hint="eastAsia"/>
              </w:rPr>
              <w:t>文件名称</w:t>
            </w:r>
          </w:p>
        </w:tc>
        <w:tc>
          <w:tcPr>
            <w:tcW w:w="9426" w:type="dxa"/>
          </w:tcPr>
          <w:p>
            <w:r>
              <w:rPr>
                <w:rFonts w:hint="eastAsia"/>
              </w:rPr>
              <w:t>如：</w:t>
            </w:r>
            <w:r>
              <w:rPr>
                <w:rFonts w:hint="eastAsia"/>
              </w:rPr>
              <w:sym w:font="Wingdings" w:char="00FE"/>
            </w:r>
            <w:r>
              <w:rPr>
                <w:rFonts w:hint="eastAsia"/>
              </w:rPr>
              <w:t>《人员安排控制程序》</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r>
              <w:rPr>
                <w:rFonts w:hint="eastAsia"/>
              </w:rPr>
              <w:t xml:space="preserve">组织工作人员提高质量意识的方式：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质量方针</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相关的质量目标</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对质量管理体系有效性的贡献，包括改进绩效的益处；</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不符合质量管理体系要求的后果</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60" w:type="dxa"/>
          </w:tcPr>
          <w:p>
            <w:r>
              <w:t>监视、测量、分析和评价</w:t>
            </w:r>
          </w:p>
        </w:tc>
        <w:tc>
          <w:tcPr>
            <w:tcW w:w="960" w:type="dxa"/>
          </w:tcPr>
          <w:p>
            <w:r>
              <w:rPr>
                <w:rFonts w:hint="eastAsia"/>
              </w:rPr>
              <w:t>Q9.1</w:t>
            </w:r>
          </w:p>
          <w:p/>
          <w:p/>
        </w:tc>
        <w:tc>
          <w:tcPr>
            <w:tcW w:w="745" w:type="dxa"/>
          </w:tcPr>
          <w:p>
            <w:r>
              <w:rPr>
                <w:rFonts w:hint="eastAsia"/>
              </w:rPr>
              <w:t>文件名称</w:t>
            </w:r>
          </w:p>
        </w:tc>
        <w:tc>
          <w:tcPr>
            <w:tcW w:w="9426" w:type="dxa"/>
          </w:tcPr>
          <w:p>
            <w:pPr>
              <w:ind w:right="640"/>
            </w:pPr>
            <w:r>
              <w:rPr>
                <w:rFonts w:hint="eastAsia"/>
              </w:rPr>
              <w:t>如：</w:t>
            </w:r>
            <w:r>
              <w:rPr>
                <w:rFonts w:hint="eastAsia"/>
              </w:rPr>
              <w:sym w:font="Wingdings" w:char="00FE"/>
            </w:r>
            <w:r>
              <w:rPr>
                <w:rFonts w:hint="eastAsia"/>
              </w:rPr>
              <w:t>管理手册9.1</w:t>
            </w:r>
            <w:r>
              <w:rPr>
                <w:rFonts w:hint="eastAsia" w:ascii="楷体_GB2312" w:eastAsia="楷体_GB2312"/>
                <w:b/>
                <w:bCs/>
                <w:sz w:val="32"/>
              </w:rPr>
              <w:t xml:space="preserve">  </w:t>
            </w:r>
            <w:r>
              <w:rPr>
                <w:rFonts w:hint="eastAsia"/>
              </w:rPr>
              <w:sym w:font="Wingdings" w:char="00FE"/>
            </w:r>
            <w:r>
              <w:rPr>
                <w:rFonts w:hint="eastAsia" w:ascii="楷体_GB2312" w:eastAsia="楷体_GB2312"/>
                <w:b/>
                <w:bCs/>
                <w:sz w:val="32"/>
              </w:rPr>
              <w:t xml:space="preserve"> </w:t>
            </w:r>
            <w:r>
              <w:rPr>
                <w:rFonts w:hint="eastAsia"/>
              </w:rPr>
              <w:t>《内部审核控制程序》</w:t>
            </w:r>
          </w:p>
          <w:p/>
        </w:tc>
        <w:tc>
          <w:tcPr>
            <w:tcW w:w="14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tcPr>
          <w:p/>
        </w:tc>
        <w:tc>
          <w:tcPr>
            <w:tcW w:w="960" w:type="dxa"/>
          </w:tcPr>
          <w:p/>
        </w:tc>
        <w:tc>
          <w:tcPr>
            <w:tcW w:w="745" w:type="dxa"/>
          </w:tcPr>
          <w:p>
            <w:r>
              <w:rPr>
                <w:rFonts w:hint="eastAsia"/>
              </w:rPr>
              <w:t>运行证据</w:t>
            </w:r>
          </w:p>
        </w:tc>
        <w:tc>
          <w:tcPr>
            <w:tcW w:w="9426" w:type="dxa"/>
          </w:tcPr>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843"/>
              <w:gridCol w:w="1559"/>
              <w:gridCol w:w="1276"/>
              <w:gridCol w:w="3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r>
                    <w:rPr>
                      <w:rFonts w:hint="eastAsia"/>
                    </w:rPr>
                    <w:t>监视和测量的对象</w:t>
                  </w:r>
                </w:p>
              </w:tc>
              <w:tc>
                <w:tcPr>
                  <w:tcW w:w="1843" w:type="dxa"/>
                </w:tcPr>
                <w:p>
                  <w:r>
                    <w:rPr>
                      <w:rFonts w:hint="eastAsia"/>
                    </w:rPr>
                    <w:t>监视、测量的方法</w:t>
                  </w:r>
                </w:p>
              </w:tc>
              <w:tc>
                <w:tcPr>
                  <w:tcW w:w="1559" w:type="dxa"/>
                </w:tcPr>
                <w:p>
                  <w:r>
                    <w:rPr>
                      <w:rFonts w:hint="eastAsia"/>
                    </w:rPr>
                    <w:t>监视和测量的频次和时机</w:t>
                  </w:r>
                </w:p>
              </w:tc>
              <w:tc>
                <w:tcPr>
                  <w:tcW w:w="1276" w:type="dxa"/>
                </w:tcPr>
                <w:p>
                  <w:r>
                    <w:rPr>
                      <w:rFonts w:hint="eastAsia"/>
                    </w:rPr>
                    <w:t>分析和评价的方法</w:t>
                  </w:r>
                </w:p>
              </w:tc>
              <w:tc>
                <w:tcPr>
                  <w:tcW w:w="3296"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r>
                    <w:rPr>
                      <w:rFonts w:hint="eastAsia"/>
                    </w:rPr>
                    <w:t>产品</w:t>
                  </w:r>
                </w:p>
              </w:tc>
              <w:tc>
                <w:tcPr>
                  <w:tcW w:w="1843" w:type="dxa"/>
                </w:tcPr>
                <w:p>
                  <w:r>
                    <w:rPr>
                      <w:rFonts w:hint="eastAsia"/>
                    </w:rPr>
                    <w:t>产品（原材料、半成品、成品）检验</w:t>
                  </w:r>
                </w:p>
              </w:tc>
              <w:tc>
                <w:tcPr>
                  <w:tcW w:w="1559" w:type="dxa"/>
                </w:tcPr>
                <w:p>
                  <w:r>
                    <w:rPr>
                      <w:rFonts w:hint="eastAsia"/>
                      <w:color w:val="000000"/>
                      <w:szCs w:val="21"/>
                    </w:rPr>
                    <w:t>□</w:t>
                  </w:r>
                  <w:r>
                    <w:rPr>
                      <w:rFonts w:hint="eastAsia"/>
                    </w:rPr>
                    <w:t>见检验计划/规程</w:t>
                  </w:r>
                  <w:r>
                    <w:rPr>
                      <w:rFonts w:hint="eastAsia"/>
                      <w:color w:val="000000"/>
                      <w:szCs w:val="21"/>
                    </w:rPr>
                    <w:t>☑每批</w:t>
                  </w:r>
                </w:p>
              </w:tc>
              <w:tc>
                <w:tcPr>
                  <w:tcW w:w="1276" w:type="dxa"/>
                </w:tcPr>
                <w:p>
                  <w:r>
                    <w:rPr>
                      <w:rFonts w:hint="eastAsia"/>
                    </w:rPr>
                    <w:t>对产品合格率进行统计，</w:t>
                  </w:r>
                </w:p>
              </w:tc>
              <w:tc>
                <w:tcPr>
                  <w:tcW w:w="3296"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r>
                    <w:rPr>
                      <w:rFonts w:hint="eastAsia"/>
                    </w:rPr>
                    <w:t>过程</w:t>
                  </w:r>
                </w:p>
              </w:tc>
              <w:tc>
                <w:tcPr>
                  <w:tcW w:w="1843" w:type="dxa"/>
                </w:tcPr>
                <w:p>
                  <w:r>
                    <w:rPr>
                      <w:rFonts w:hint="eastAsia"/>
                    </w:rPr>
                    <w:t>现场巡视</w:t>
                  </w:r>
                </w:p>
                <w:p>
                  <w:r>
                    <w:rPr>
                      <w:rFonts w:hint="eastAsia"/>
                    </w:rPr>
                    <w:t>抽查记录</w:t>
                  </w:r>
                </w:p>
              </w:tc>
              <w:tc>
                <w:tcPr>
                  <w:tcW w:w="1559" w:type="dxa"/>
                </w:tcPr>
                <w:p>
                  <w:r>
                    <w:rPr>
                      <w:rFonts w:hint="eastAsia"/>
                      <w:color w:val="000000"/>
                      <w:szCs w:val="21"/>
                    </w:rPr>
                    <w:t>☑</w:t>
                  </w:r>
                  <w:r>
                    <w:rPr>
                      <w:rFonts w:hint="eastAsia"/>
                    </w:rPr>
                    <w:t>定期检查</w:t>
                  </w:r>
                </w:p>
                <w:p>
                  <w:r>
                    <w:rPr>
                      <w:rFonts w:hint="eastAsia"/>
                      <w:color w:val="000000"/>
                      <w:szCs w:val="21"/>
                    </w:rPr>
                    <w:t>☑</w:t>
                  </w:r>
                  <w:r>
                    <w:rPr>
                      <w:rFonts w:hint="eastAsia"/>
                    </w:rPr>
                    <w:t>抽查</w:t>
                  </w:r>
                </w:p>
              </w:tc>
              <w:tc>
                <w:tcPr>
                  <w:tcW w:w="1276" w:type="dxa"/>
                </w:tcPr>
                <w:p>
                  <w:r>
                    <w:rPr>
                      <w:rFonts w:hint="eastAsia"/>
                    </w:rPr>
                    <w:t>对质量目标/Cpk进行统计</w:t>
                  </w:r>
                </w:p>
              </w:tc>
              <w:tc>
                <w:tcPr>
                  <w:tcW w:w="3296"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r>
                    <w:rPr>
                      <w:rFonts w:hint="eastAsia"/>
                    </w:rPr>
                    <w:t>体系</w:t>
                  </w:r>
                </w:p>
              </w:tc>
              <w:tc>
                <w:tcPr>
                  <w:tcW w:w="1843" w:type="dxa"/>
                </w:tcPr>
                <w:p>
                  <w:r>
                    <w:rPr>
                      <w:rFonts w:hint="eastAsia"/>
                    </w:rPr>
                    <w:t>内部审核</w:t>
                  </w:r>
                </w:p>
              </w:tc>
              <w:tc>
                <w:tcPr>
                  <w:tcW w:w="1559" w:type="dxa"/>
                </w:tcPr>
                <w:p>
                  <w:r>
                    <w:rPr>
                      <w:rFonts w:hint="eastAsia"/>
                      <w:color w:val="000000"/>
                      <w:szCs w:val="21"/>
                    </w:rPr>
                    <w:t>□</w:t>
                  </w:r>
                  <w:r>
                    <w:rPr>
                      <w:rFonts w:hint="eastAsia"/>
                    </w:rPr>
                    <w:t>按年度内审计划</w:t>
                  </w:r>
                </w:p>
                <w:p>
                  <w:r>
                    <w:rPr>
                      <w:rFonts w:hint="eastAsia"/>
                      <w:color w:val="000000"/>
                      <w:szCs w:val="21"/>
                    </w:rPr>
                    <w:t>☑</w:t>
                  </w:r>
                  <w:r>
                    <w:rPr>
                      <w:rFonts w:hint="eastAsia"/>
                    </w:rPr>
                    <w:t>每年一次</w:t>
                  </w:r>
                </w:p>
                <w:p>
                  <w:r>
                    <w:rPr>
                      <w:rFonts w:hint="eastAsia"/>
                      <w:color w:val="000000"/>
                      <w:szCs w:val="21"/>
                    </w:rPr>
                    <w:t>□特殊情况增加</w:t>
                  </w:r>
                </w:p>
              </w:tc>
              <w:tc>
                <w:tcPr>
                  <w:tcW w:w="1276" w:type="dxa"/>
                </w:tcPr>
                <w:p>
                  <w:r>
                    <w:rPr>
                      <w:rFonts w:hint="eastAsia"/>
                    </w:rPr>
                    <w:t>对内审不符合项进行分析</w:t>
                  </w:r>
                </w:p>
              </w:tc>
              <w:tc>
                <w:tcPr>
                  <w:tcW w:w="3296"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r>
                    <w:rPr>
                      <w:rFonts w:hint="eastAsia"/>
                    </w:rPr>
                    <w:t>体系有效性</w:t>
                  </w:r>
                </w:p>
              </w:tc>
              <w:tc>
                <w:tcPr>
                  <w:tcW w:w="1843" w:type="dxa"/>
                </w:tcPr>
                <w:p>
                  <w:r>
                    <w:rPr>
                      <w:rFonts w:hint="eastAsia"/>
                    </w:rPr>
                    <w:t>管理评审</w:t>
                  </w:r>
                </w:p>
              </w:tc>
              <w:tc>
                <w:tcPr>
                  <w:tcW w:w="1559" w:type="dxa"/>
                </w:tcPr>
                <w:p>
                  <w:r>
                    <w:rPr>
                      <w:rFonts w:hint="eastAsia"/>
                      <w:color w:val="000000"/>
                      <w:szCs w:val="21"/>
                    </w:rPr>
                    <w:t>☑</w:t>
                  </w:r>
                  <w:r>
                    <w:rPr>
                      <w:rFonts w:hint="eastAsia"/>
                    </w:rPr>
                    <w:t>每年一次</w:t>
                  </w:r>
                </w:p>
                <w:p>
                  <w:r>
                    <w:rPr>
                      <w:rFonts w:hint="eastAsia"/>
                      <w:color w:val="000000"/>
                      <w:szCs w:val="21"/>
                    </w:rPr>
                    <w:t>□特殊情况增加</w:t>
                  </w:r>
                </w:p>
              </w:tc>
              <w:tc>
                <w:tcPr>
                  <w:tcW w:w="1276" w:type="dxa"/>
                </w:tcPr>
                <w:p>
                  <w:r>
                    <w:rPr>
                      <w:rFonts w:hint="eastAsia"/>
                    </w:rPr>
                    <w:t>对QMS存在的需要问题进行分析</w:t>
                  </w:r>
                </w:p>
              </w:tc>
              <w:tc>
                <w:tcPr>
                  <w:tcW w:w="3296"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r>
                    <w:rPr>
                      <w:rFonts w:hint="eastAsia"/>
                    </w:rPr>
                    <w:t>顾客满意</w:t>
                  </w:r>
                </w:p>
              </w:tc>
              <w:tc>
                <w:tcPr>
                  <w:tcW w:w="1843" w:type="dxa"/>
                </w:tcPr>
                <w:p>
                  <w:r>
                    <w:rPr>
                      <w:rFonts w:hint="eastAsia"/>
                    </w:rPr>
                    <w:t>问卷调查</w:t>
                  </w:r>
                </w:p>
              </w:tc>
              <w:tc>
                <w:tcPr>
                  <w:tcW w:w="1559" w:type="dxa"/>
                </w:tcPr>
                <w:p>
                  <w:r>
                    <w:rPr>
                      <w:rFonts w:hint="eastAsia"/>
                      <w:color w:val="000000"/>
                      <w:szCs w:val="21"/>
                    </w:rPr>
                    <w:t>☑</w:t>
                  </w:r>
                  <w:r>
                    <w:rPr>
                      <w:rFonts w:hint="eastAsia"/>
                    </w:rPr>
                    <w:t>每年一次</w:t>
                  </w:r>
                </w:p>
                <w:p>
                  <w:r>
                    <w:rPr>
                      <w:rFonts w:hint="eastAsia"/>
                      <w:color w:val="000000"/>
                      <w:szCs w:val="21"/>
                    </w:rPr>
                    <w:t>□</w:t>
                  </w:r>
                </w:p>
              </w:tc>
              <w:tc>
                <w:tcPr>
                  <w:tcW w:w="1276" w:type="dxa"/>
                </w:tcPr>
                <w:p>
                  <w:r>
                    <w:rPr>
                      <w:rFonts w:hint="eastAsia"/>
                    </w:rPr>
                    <w:t>对顾客满意率进行统计</w:t>
                  </w:r>
                </w:p>
              </w:tc>
              <w:tc>
                <w:tcPr>
                  <w:tcW w:w="3296"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bl>
          <w:p/>
        </w:tc>
        <w:tc>
          <w:tcPr>
            <w:tcW w:w="14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r>
              <w:rPr>
                <w:rFonts w:hint="eastAsia"/>
              </w:rPr>
              <w:t>管理评审</w:t>
            </w:r>
          </w:p>
        </w:tc>
        <w:tc>
          <w:tcPr>
            <w:tcW w:w="960" w:type="dxa"/>
            <w:vMerge w:val="restart"/>
          </w:tcPr>
          <w:p>
            <w:r>
              <w:rPr>
                <w:rFonts w:hint="eastAsia"/>
              </w:rPr>
              <w:t>Q9.3</w:t>
            </w:r>
          </w:p>
        </w:tc>
        <w:tc>
          <w:tcPr>
            <w:tcW w:w="745" w:type="dxa"/>
          </w:tcPr>
          <w:p>
            <w:r>
              <w:rPr>
                <w:rFonts w:hint="eastAsia"/>
              </w:rPr>
              <w:t>文件名称</w:t>
            </w:r>
          </w:p>
        </w:tc>
        <w:tc>
          <w:tcPr>
            <w:tcW w:w="9426" w:type="dxa"/>
          </w:tcPr>
          <w:p>
            <w:r>
              <w:rPr>
                <w:rFonts w:hint="eastAsia"/>
              </w:rPr>
              <w:t>如：</w:t>
            </w:r>
            <w:r>
              <w:rPr>
                <w:rFonts w:hint="eastAsia"/>
              </w:rPr>
              <w:sym w:font="Wingdings" w:char="00FE"/>
            </w:r>
            <w:r>
              <w:rPr>
                <w:rFonts w:hint="eastAsia"/>
              </w:rPr>
              <w:t>《管理评审控制程序》</w:t>
            </w:r>
            <w:r>
              <w:rPr>
                <w:rFonts w:hint="eastAsia"/>
              </w:rPr>
              <w:sym w:font="Wingdings" w:char="00FE"/>
            </w:r>
            <w:r>
              <w:rPr>
                <w:rFonts w:hint="eastAsia"/>
              </w:rPr>
              <w:t>手册第9.3条款</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tc>
        <w:tc>
          <w:tcPr>
            <w:tcW w:w="960" w:type="dxa"/>
            <w:vMerge w:val="continue"/>
          </w:tcPr>
          <w:p/>
        </w:tc>
        <w:tc>
          <w:tcPr>
            <w:tcW w:w="745" w:type="dxa"/>
          </w:tcPr>
          <w:p>
            <w:pPr>
              <w:widowControl/>
              <w:spacing w:before="40"/>
              <w:jc w:val="left"/>
              <w:rPr>
                <w:color w:val="000000"/>
                <w:szCs w:val="18"/>
              </w:rPr>
            </w:pPr>
          </w:p>
          <w:p>
            <w:r>
              <w:rPr>
                <w:rFonts w:hint="eastAsia"/>
              </w:rPr>
              <w:t>运行证据</w:t>
            </w:r>
          </w:p>
        </w:tc>
        <w:tc>
          <w:tcPr>
            <w:tcW w:w="9426" w:type="dxa"/>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5月</w:t>
            </w:r>
            <w:r>
              <w:rPr>
                <w:color w:val="000000"/>
                <w:szCs w:val="18"/>
                <w:u w:val="single"/>
              </w:rPr>
              <w:t xml:space="preserve"> </w:t>
            </w:r>
            <w:r>
              <w:rPr>
                <w:rFonts w:hint="eastAsia"/>
                <w:color w:val="000000"/>
                <w:szCs w:val="18"/>
                <w:u w:val="single"/>
              </w:rPr>
              <w:t>12</w:t>
            </w:r>
            <w:r>
              <w:rPr>
                <w:rFonts w:hint="eastAsia"/>
                <w:color w:val="000000"/>
                <w:szCs w:val="18"/>
              </w:rPr>
              <w:t>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color w:val="000000"/>
                      <w:szCs w:val="21"/>
                    </w:rPr>
                    <w:t>管理评审输入信息</w:t>
                  </w:r>
                </w:p>
              </w:tc>
              <w:tc>
                <w:tcPr>
                  <w:tcW w:w="1990"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列举描述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以往管理评审所采取措施的情况；</w:t>
                  </w:r>
                </w:p>
              </w:tc>
              <w:tc>
                <w:tcPr>
                  <w:tcW w:w="1990" w:type="dxa"/>
                </w:tcPr>
                <w:p>
                  <w:pPr>
                    <w:widowControl/>
                    <w:spacing w:before="40"/>
                    <w:jc w:val="left"/>
                    <w:rPr>
                      <w:color w:val="000000"/>
                      <w:szCs w:val="21"/>
                    </w:rPr>
                  </w:pPr>
                  <w:r>
                    <w:rPr>
                      <w:rFonts w:hint="eastAsia"/>
                      <w:color w:val="000000"/>
                      <w:szCs w:val="21"/>
                    </w:rPr>
                    <w:t>☑符合□不符合</w:t>
                  </w:r>
                </w:p>
              </w:tc>
              <w:tc>
                <w:tcPr>
                  <w:tcW w:w="2816" w:type="dxa"/>
                </w:tcPr>
                <w:p>
                  <w:pPr>
                    <w:widowControl/>
                    <w:spacing w:before="40"/>
                    <w:jc w:val="left"/>
                    <w:rPr>
                      <w:color w:val="000000"/>
                      <w:szCs w:val="21"/>
                      <w:highlight w:val="cyan"/>
                    </w:rPr>
                  </w:pPr>
                  <w:r>
                    <w:rPr>
                      <w:rFonts w:hint="eastAsia"/>
                      <w:color w:val="000000"/>
                      <w:szCs w:val="21"/>
                    </w:rPr>
                    <w:t>已采取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与质量管理体系相关的内外部因素的变化；</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顾客满意和有关相关方的反馈及趋势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满足顾客及相关方需求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质量目标的实现程度及趋势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完成质量目标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过程绩效以及产品和服务的合格情况及趋势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生产及质量目标达标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不合格及纠正措施及趋势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无质量投诉，内审不符合已改进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监视和测量结果及趋势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2020年目标完成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内审、外部审核结果及趋势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ascii="宋体" w:hAnsi="宋体" w:cs="宋体"/>
                    </w:rPr>
                    <w:t>顾客或相关方</w:t>
                  </w:r>
                  <w:r>
                    <w:rPr>
                      <w:rFonts w:hint="eastAsia"/>
                    </w:rPr>
                    <w:t>绩效及趋势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进行顾客满意度调查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资源的充分性；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可以达标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应对风险和机遇所采取措施的有效性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改进的机会</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ascii="宋体" w:hAnsi="宋体" w:cs="宋体"/>
                    </w:rPr>
                    <w:t>投资、</w:t>
                  </w:r>
                  <w:r>
                    <w:rPr>
                      <w:rFonts w:hint="eastAsia" w:ascii="楷体_GB2312" w:eastAsia="楷体_GB2312"/>
                    </w:rPr>
                    <w:t>改进公司办公环境</w:t>
                  </w:r>
                </w:p>
              </w:tc>
            </w:tr>
          </w:tbl>
          <w:p>
            <w:pPr>
              <w:widowControl/>
              <w:spacing w:before="40"/>
              <w:jc w:val="left"/>
              <w:rPr>
                <w:color w:val="000000"/>
                <w:szCs w:val="21"/>
                <w:highlight w:val="cyan"/>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color w:val="000000"/>
                      <w:szCs w:val="18"/>
                    </w:rPr>
                    <w:t>管理评审输出信息</w:t>
                  </w:r>
                </w:p>
              </w:tc>
              <w:tc>
                <w:tcPr>
                  <w:tcW w:w="4620" w:type="dxa"/>
                </w:tcPr>
                <w:p>
                  <w:pPr>
                    <w:widowControl/>
                    <w:spacing w:before="40"/>
                    <w:jc w:val="left"/>
                    <w:rPr>
                      <w:color w:val="000000"/>
                      <w:szCs w:val="21"/>
                    </w:rPr>
                  </w:pPr>
                  <w:r>
                    <w:rPr>
                      <w:rFonts w:hint="eastAsia"/>
                      <w:color w:val="000000"/>
                      <w:szCs w:val="21"/>
                    </w:rPr>
                    <w:t>措施描述</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927" w:type="dxa"/>
                </w:tcPr>
                <w:p>
                  <w:pPr>
                    <w:widowControl/>
                    <w:spacing w:before="40"/>
                    <w:jc w:val="left"/>
                    <w:rPr>
                      <w:color w:val="000000"/>
                      <w:szCs w:val="21"/>
                    </w:rPr>
                  </w:pPr>
                  <w:r>
                    <w:rPr>
                      <w:rFonts w:hint="eastAsia"/>
                    </w:rPr>
                    <w:t>改进的机会</w:t>
                  </w:r>
                </w:p>
              </w:tc>
              <w:tc>
                <w:tcPr>
                  <w:tcW w:w="4620" w:type="dxa"/>
                </w:tcPr>
                <w:p>
                  <w:pPr>
                    <w:rPr>
                      <w:color w:val="000000"/>
                      <w:szCs w:val="21"/>
                    </w:rPr>
                  </w:pPr>
                  <w:r>
                    <w:rPr>
                      <w:rFonts w:hint="eastAsia"/>
                      <w:color w:val="000000"/>
                      <w:szCs w:val="21"/>
                    </w:rPr>
                    <w:t>进一步强化质量意识、环境意识和安全意识教育，加大方针、目标的贯彻力度，提高执行方针目标的自觉性和主动性。</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质量管理体系所需的变更</w:t>
                  </w:r>
                </w:p>
              </w:tc>
              <w:tc>
                <w:tcPr>
                  <w:tcW w:w="4620" w:type="dxa"/>
                </w:tcPr>
                <w:p>
                  <w:pPr>
                    <w:widowControl/>
                    <w:spacing w:before="40"/>
                    <w:jc w:val="left"/>
                    <w:rPr>
                      <w:color w:val="000000"/>
                      <w:szCs w:val="21"/>
                    </w:rPr>
                  </w:pPr>
                  <w:r>
                    <w:rPr>
                      <w:rFonts w:hint="eastAsia"/>
                      <w:color w:val="000000"/>
                      <w:szCs w:val="21"/>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资源需求</w:t>
                  </w:r>
                </w:p>
              </w:tc>
              <w:tc>
                <w:tcPr>
                  <w:tcW w:w="4620" w:type="dxa"/>
                </w:tcPr>
                <w:p>
                  <w:pPr>
                    <w:widowControl/>
                    <w:spacing w:before="40"/>
                    <w:jc w:val="left"/>
                    <w:rPr>
                      <w:color w:val="000000"/>
                      <w:szCs w:val="21"/>
                    </w:rPr>
                  </w:pPr>
                  <w:r>
                    <w:rPr>
                      <w:rFonts w:hint="eastAsia"/>
                      <w:color w:val="000000"/>
                      <w:szCs w:val="21"/>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pPr>
              <w:rPr>
                <w:highlight w:val="cyan"/>
              </w:rPr>
            </w:pP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监视、测量、分析和评价</w:t>
            </w:r>
          </w:p>
          <w:p>
            <w:pPr>
              <w:rPr>
                <w:color w:val="FF0000"/>
              </w:rPr>
            </w:pPr>
          </w:p>
        </w:tc>
        <w:tc>
          <w:tcPr>
            <w:tcW w:w="960" w:type="dxa"/>
            <w:vMerge w:val="restart"/>
          </w:tcPr>
          <w:p>
            <w:r>
              <w:rPr>
                <w:rFonts w:hint="eastAsia"/>
              </w:rPr>
              <w:t>Q9.1.1</w:t>
            </w:r>
          </w:p>
        </w:tc>
        <w:tc>
          <w:tcPr>
            <w:tcW w:w="745" w:type="dxa"/>
          </w:tcPr>
          <w:p>
            <w:r>
              <w:rPr>
                <w:rFonts w:hint="eastAsia"/>
              </w:rPr>
              <w:t>文件名称</w:t>
            </w:r>
          </w:p>
        </w:tc>
        <w:tc>
          <w:tcPr>
            <w:tcW w:w="9426" w:type="dxa"/>
          </w:tcPr>
          <w:p>
            <w:r>
              <w:rPr>
                <w:rFonts w:hint="eastAsia"/>
              </w:rPr>
              <w:t>如：</w:t>
            </w:r>
            <w:r>
              <w:rPr>
                <w:rFonts w:hint="eastAsia"/>
              </w:rPr>
              <w:sym w:font="Wingdings" w:char="00FE"/>
            </w:r>
            <w:r>
              <w:rPr>
                <w:rFonts w:hint="eastAsia"/>
              </w:rPr>
              <w:t>管理手册9.1.1章，</w:t>
            </w:r>
            <w:r>
              <w:rPr>
                <w:rFonts w:hint="eastAsia"/>
              </w:rPr>
              <w:sym w:font="Wingdings" w:char="00FE"/>
            </w:r>
            <w:r>
              <w:rPr>
                <w:rFonts w:hint="eastAsia"/>
              </w:rPr>
              <w:t>《确认、验证控制程序》</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r>
              <w:rPr>
                <w:rFonts w:hint="eastAsia"/>
              </w:rPr>
              <w:t>组织对监视和测量的策划</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843"/>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监视和测量的对象</w:t>
                  </w:r>
                </w:p>
              </w:tc>
              <w:tc>
                <w:tcPr>
                  <w:tcW w:w="1843" w:type="dxa"/>
                </w:tcPr>
                <w:p>
                  <w:r>
                    <w:rPr>
                      <w:rFonts w:hint="eastAsia"/>
                    </w:rPr>
                    <w:t>监视、测量的方法</w:t>
                  </w:r>
                </w:p>
              </w:tc>
              <w:tc>
                <w:tcPr>
                  <w:tcW w:w="1986" w:type="dxa"/>
                </w:tcPr>
                <w:p>
                  <w:r>
                    <w:rPr>
                      <w:rFonts w:hint="eastAsia"/>
                    </w:rPr>
                    <w:t>监视和测量的频次和时机</w:t>
                  </w:r>
                </w:p>
              </w:tc>
              <w:tc>
                <w:tcPr>
                  <w:tcW w:w="1887" w:type="dxa"/>
                </w:tcPr>
                <w:p>
                  <w:r>
                    <w:rPr>
                      <w:rFonts w:hint="eastAsia"/>
                    </w:rPr>
                    <w:t>分析和评价的方法</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3" w:type="dxa"/>
                </w:tcPr>
                <w:p>
                  <w:r>
                    <w:rPr>
                      <w:rFonts w:hint="eastAsia"/>
                    </w:rPr>
                    <w:t>产品</w:t>
                  </w:r>
                </w:p>
              </w:tc>
              <w:tc>
                <w:tcPr>
                  <w:tcW w:w="1843" w:type="dxa"/>
                </w:tcPr>
                <w:p>
                  <w:r>
                    <w:rPr>
                      <w:rFonts w:hint="eastAsia"/>
                    </w:rPr>
                    <w:t>产品（原材料、半成品、成品）检验</w:t>
                  </w:r>
                </w:p>
              </w:tc>
              <w:tc>
                <w:tcPr>
                  <w:tcW w:w="1986" w:type="dxa"/>
                </w:tcPr>
                <w:p>
                  <w:r>
                    <w:rPr>
                      <w:rFonts w:hint="eastAsia"/>
                      <w:color w:val="000000"/>
                      <w:szCs w:val="21"/>
                    </w:rPr>
                    <w:t>□</w:t>
                  </w:r>
                  <w:r>
                    <w:rPr>
                      <w:rFonts w:hint="eastAsia"/>
                    </w:rPr>
                    <w:t>见检验计划/规程</w:t>
                  </w:r>
                  <w:r>
                    <w:rPr>
                      <w:rFonts w:hint="eastAsia"/>
                      <w:color w:val="000000"/>
                      <w:szCs w:val="21"/>
                    </w:rPr>
                    <w:t>☑每批</w:t>
                  </w:r>
                </w:p>
              </w:tc>
              <w:tc>
                <w:tcPr>
                  <w:tcW w:w="1887" w:type="dxa"/>
                </w:tcPr>
                <w:p>
                  <w:r>
                    <w:rPr>
                      <w:rFonts w:hint="eastAsia"/>
                    </w:rPr>
                    <w:t>对产品合格率进行统计，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过程</w:t>
                  </w:r>
                </w:p>
              </w:tc>
              <w:tc>
                <w:tcPr>
                  <w:tcW w:w="1843" w:type="dxa"/>
                </w:tcPr>
                <w:p>
                  <w:r>
                    <w:rPr>
                      <w:rFonts w:hint="eastAsia"/>
                    </w:rPr>
                    <w:t>现场巡视</w:t>
                  </w:r>
                </w:p>
                <w:p>
                  <w:r>
                    <w:rPr>
                      <w:rFonts w:hint="eastAsia"/>
                    </w:rPr>
                    <w:t>抽查记录</w:t>
                  </w:r>
                </w:p>
              </w:tc>
              <w:tc>
                <w:tcPr>
                  <w:tcW w:w="1986" w:type="dxa"/>
                </w:tcPr>
                <w:p>
                  <w:r>
                    <w:rPr>
                      <w:rFonts w:hint="eastAsia"/>
                      <w:color w:val="000000"/>
                      <w:szCs w:val="21"/>
                    </w:rPr>
                    <w:t>☑</w:t>
                  </w:r>
                  <w:r>
                    <w:rPr>
                      <w:rFonts w:hint="eastAsia"/>
                    </w:rPr>
                    <w:t>定期检查</w:t>
                  </w:r>
                </w:p>
                <w:p>
                  <w:r>
                    <w:rPr>
                      <w:rFonts w:hint="eastAsia"/>
                      <w:color w:val="000000"/>
                      <w:szCs w:val="21"/>
                    </w:rPr>
                    <w:t>☑</w:t>
                  </w:r>
                  <w:r>
                    <w:rPr>
                      <w:rFonts w:hint="eastAsia"/>
                    </w:rPr>
                    <w:t>抽查</w:t>
                  </w:r>
                </w:p>
              </w:tc>
              <w:tc>
                <w:tcPr>
                  <w:tcW w:w="1887" w:type="dxa"/>
                </w:tcPr>
                <w:p>
                  <w:r>
                    <w:rPr>
                      <w:rFonts w:hint="eastAsia"/>
                    </w:rPr>
                    <w:t>对质量目标/Cpk进行统计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3" w:type="dxa"/>
                </w:tcPr>
                <w:p>
                  <w:r>
                    <w:rPr>
                      <w:rFonts w:hint="eastAsia"/>
                    </w:rPr>
                    <w:t>体系</w:t>
                  </w:r>
                </w:p>
              </w:tc>
              <w:tc>
                <w:tcPr>
                  <w:tcW w:w="1843" w:type="dxa"/>
                </w:tcPr>
                <w:p>
                  <w:r>
                    <w:rPr>
                      <w:rFonts w:hint="eastAsia"/>
                    </w:rPr>
                    <w:t>内部审核</w:t>
                  </w:r>
                </w:p>
              </w:tc>
              <w:tc>
                <w:tcPr>
                  <w:tcW w:w="1986" w:type="dxa"/>
                </w:tcPr>
                <w:p>
                  <w:r>
                    <w:rPr>
                      <w:rFonts w:hint="eastAsia"/>
                      <w:color w:val="000000"/>
                      <w:szCs w:val="21"/>
                    </w:rPr>
                    <w:t>□</w:t>
                  </w:r>
                  <w:r>
                    <w:rPr>
                      <w:rFonts w:hint="eastAsia"/>
                    </w:rPr>
                    <w:t>按年度内审计划</w:t>
                  </w:r>
                </w:p>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对内审不符合项进行分析</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体系有效性</w:t>
                  </w:r>
                </w:p>
              </w:tc>
              <w:tc>
                <w:tcPr>
                  <w:tcW w:w="1843" w:type="dxa"/>
                </w:tcPr>
                <w:p>
                  <w:r>
                    <w:rPr>
                      <w:rFonts w:hint="eastAsia"/>
                    </w:rPr>
                    <w:t>管理评审</w:t>
                  </w:r>
                </w:p>
              </w:tc>
              <w:tc>
                <w:tcPr>
                  <w:tcW w:w="1986" w:type="dxa"/>
                </w:tcPr>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对QMS存在的需要问题进行分析</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顾客满意</w:t>
                  </w:r>
                </w:p>
              </w:tc>
              <w:tc>
                <w:tcPr>
                  <w:tcW w:w="1843" w:type="dxa"/>
                </w:tcPr>
                <w:p>
                  <w:r>
                    <w:rPr>
                      <w:rFonts w:hint="eastAsia"/>
                    </w:rPr>
                    <w:t>问卷调查</w:t>
                  </w:r>
                </w:p>
              </w:tc>
              <w:tc>
                <w:tcPr>
                  <w:tcW w:w="1986" w:type="dxa"/>
                </w:tcPr>
                <w:p>
                  <w:r>
                    <w:rPr>
                      <w:rFonts w:hint="eastAsia"/>
                      <w:color w:val="000000"/>
                      <w:szCs w:val="21"/>
                    </w:rPr>
                    <w:t>☑</w:t>
                  </w:r>
                  <w:r>
                    <w:rPr>
                      <w:rFonts w:hint="eastAsia"/>
                    </w:rPr>
                    <w:t>每年一次</w:t>
                  </w:r>
                </w:p>
                <w:p>
                  <w:r>
                    <w:rPr>
                      <w:rFonts w:hint="eastAsia"/>
                      <w:color w:val="000000"/>
                      <w:szCs w:val="21"/>
                    </w:rPr>
                    <w:t>□</w:t>
                  </w:r>
                </w:p>
              </w:tc>
              <w:tc>
                <w:tcPr>
                  <w:tcW w:w="1887" w:type="dxa"/>
                </w:tcPr>
                <w:p>
                  <w:r>
                    <w:rPr>
                      <w:rFonts w:hint="eastAsia"/>
                    </w:rPr>
                    <w:t>对顾客满意率进行统计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bl>
          <w:p>
            <w:pPr>
              <w:rPr>
                <w:highlight w:val="cyan"/>
              </w:rPr>
            </w:pPr>
          </w:p>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改进</w:t>
            </w:r>
          </w:p>
        </w:tc>
        <w:tc>
          <w:tcPr>
            <w:tcW w:w="960" w:type="dxa"/>
            <w:vMerge w:val="restart"/>
          </w:tcPr>
          <w:p>
            <w:r>
              <w:rPr>
                <w:rFonts w:hint="eastAsia"/>
              </w:rPr>
              <w:t>Q10.1</w:t>
            </w:r>
          </w:p>
        </w:tc>
        <w:tc>
          <w:tcPr>
            <w:tcW w:w="745" w:type="dxa"/>
          </w:tcPr>
          <w:p>
            <w:r>
              <w:rPr>
                <w:rFonts w:hint="eastAsia"/>
              </w:rPr>
              <w:t>文件名称</w:t>
            </w:r>
          </w:p>
        </w:tc>
        <w:tc>
          <w:tcPr>
            <w:tcW w:w="9426" w:type="dxa"/>
          </w:tcPr>
          <w:p>
            <w:r>
              <w:rPr>
                <w:rFonts w:hint="eastAsia"/>
              </w:rPr>
              <w:t>如：</w:t>
            </w:r>
            <w:r>
              <w:rPr>
                <w:rFonts w:hint="eastAsia"/>
              </w:rPr>
              <w:sym w:font="Wingdings" w:char="00FE"/>
            </w:r>
            <w:r>
              <w:rPr>
                <w:rFonts w:hint="eastAsia"/>
              </w:rPr>
              <w:t>管理手册10.1章</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10.3 持续改进</w:t>
            </w:r>
          </w:p>
          <w:p/>
        </w:tc>
        <w:tc>
          <w:tcPr>
            <w:tcW w:w="960" w:type="dxa"/>
            <w:vMerge w:val="restart"/>
          </w:tcPr>
          <w:p>
            <w:r>
              <w:rPr>
                <w:rFonts w:hint="eastAsia"/>
              </w:rPr>
              <w:t>Q10.3</w:t>
            </w:r>
          </w:p>
        </w:tc>
        <w:tc>
          <w:tcPr>
            <w:tcW w:w="745" w:type="dxa"/>
          </w:tcPr>
          <w:p>
            <w:r>
              <w:rPr>
                <w:rFonts w:hint="eastAsia"/>
              </w:rPr>
              <w:t>文件名称</w:t>
            </w:r>
          </w:p>
        </w:tc>
        <w:tc>
          <w:tcPr>
            <w:tcW w:w="9426" w:type="dxa"/>
          </w:tcPr>
          <w:p>
            <w:r>
              <w:rPr>
                <w:rFonts w:hint="eastAsia"/>
              </w:rPr>
              <w:t>如：</w:t>
            </w:r>
            <w:r>
              <w:rPr>
                <w:rFonts w:hint="eastAsia"/>
              </w:rPr>
              <w:sym w:font="Wingdings" w:char="00FE"/>
            </w:r>
            <w:r>
              <w:rPr>
                <w:rFonts w:hint="eastAsia"/>
              </w:rPr>
              <w:t>管理手册10.3章</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r>
              <w:rPr>
                <w:rFonts w:hint="eastAsia"/>
              </w:rPr>
              <w:t xml:space="preserve">组织已持续改进质量管理体系的适宜性、充分性和有效性。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FE"/>
            </w:r>
            <w:r>
              <w:rPr>
                <w:rFonts w:hint="eastAsia"/>
              </w:rPr>
              <w:t xml:space="preserve"> 管理评审改进措施已落实</w:t>
            </w:r>
          </w:p>
          <w:p>
            <w:pPr>
              <w:rPr>
                <w:u w:val="single"/>
              </w:rPr>
            </w:pPr>
            <w:r>
              <w:rPr>
                <w:rFonts w:hint="eastAsia"/>
              </w:rPr>
              <w:sym w:font="Wingdings" w:char="00A8"/>
            </w:r>
            <w:r>
              <w:rPr>
                <w:rFonts w:hint="eastAsia"/>
              </w:rPr>
              <w:t xml:space="preserve"> 管理评审改进措施未落实的原因：</w:t>
            </w:r>
            <w:r>
              <w:rPr>
                <w:rFonts w:hint="eastAsia"/>
                <w:u w:val="single"/>
              </w:rPr>
              <w:t xml:space="preserve">                              </w:t>
            </w:r>
          </w:p>
          <w:p/>
        </w:tc>
        <w:tc>
          <w:tcPr>
            <w:tcW w:w="1418" w:type="dxa"/>
            <w:vMerge w:val="continue"/>
          </w:tcPr>
          <w:p/>
        </w:tc>
      </w:tr>
    </w:tbl>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94F9"/>
    <w:multiLevelType w:val="singleLevel"/>
    <w:tmpl w:val="19E194F9"/>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648"/>
    <w:rsid w:val="000079AB"/>
    <w:rsid w:val="000122B5"/>
    <w:rsid w:val="0002305A"/>
    <w:rsid w:val="000237F6"/>
    <w:rsid w:val="0003176C"/>
    <w:rsid w:val="000332F7"/>
    <w:rsid w:val="0003373A"/>
    <w:rsid w:val="00035603"/>
    <w:rsid w:val="000400E2"/>
    <w:rsid w:val="0004159A"/>
    <w:rsid w:val="00043671"/>
    <w:rsid w:val="00047F85"/>
    <w:rsid w:val="00052E9F"/>
    <w:rsid w:val="0005458D"/>
    <w:rsid w:val="00062E46"/>
    <w:rsid w:val="000A2303"/>
    <w:rsid w:val="000A3D35"/>
    <w:rsid w:val="000B3121"/>
    <w:rsid w:val="000C7BC8"/>
    <w:rsid w:val="000D09E0"/>
    <w:rsid w:val="000E6B21"/>
    <w:rsid w:val="00101A02"/>
    <w:rsid w:val="001121C4"/>
    <w:rsid w:val="00112474"/>
    <w:rsid w:val="00163698"/>
    <w:rsid w:val="00181AC2"/>
    <w:rsid w:val="00194580"/>
    <w:rsid w:val="001A2D7F"/>
    <w:rsid w:val="001A3ECF"/>
    <w:rsid w:val="001C109E"/>
    <w:rsid w:val="001C1EEC"/>
    <w:rsid w:val="001C5D30"/>
    <w:rsid w:val="001D485A"/>
    <w:rsid w:val="001D6BE3"/>
    <w:rsid w:val="0020368E"/>
    <w:rsid w:val="002054BE"/>
    <w:rsid w:val="00211218"/>
    <w:rsid w:val="00214705"/>
    <w:rsid w:val="00216F43"/>
    <w:rsid w:val="00226071"/>
    <w:rsid w:val="00257414"/>
    <w:rsid w:val="0026374E"/>
    <w:rsid w:val="002703A1"/>
    <w:rsid w:val="00270893"/>
    <w:rsid w:val="0027695E"/>
    <w:rsid w:val="00285F78"/>
    <w:rsid w:val="00287984"/>
    <w:rsid w:val="002939AD"/>
    <w:rsid w:val="002A0F74"/>
    <w:rsid w:val="002A1C2A"/>
    <w:rsid w:val="002A57FE"/>
    <w:rsid w:val="002B251D"/>
    <w:rsid w:val="002B46B2"/>
    <w:rsid w:val="002B5153"/>
    <w:rsid w:val="002B5D73"/>
    <w:rsid w:val="002D0725"/>
    <w:rsid w:val="002E7FB9"/>
    <w:rsid w:val="002F50FB"/>
    <w:rsid w:val="002F6A07"/>
    <w:rsid w:val="0030728E"/>
    <w:rsid w:val="00314AF6"/>
    <w:rsid w:val="00315FCF"/>
    <w:rsid w:val="0032303B"/>
    <w:rsid w:val="0033163E"/>
    <w:rsid w:val="00337922"/>
    <w:rsid w:val="00340867"/>
    <w:rsid w:val="0034330B"/>
    <w:rsid w:val="0034540D"/>
    <w:rsid w:val="00350ACE"/>
    <w:rsid w:val="00352589"/>
    <w:rsid w:val="00363B31"/>
    <w:rsid w:val="003714F4"/>
    <w:rsid w:val="00371EFE"/>
    <w:rsid w:val="00380837"/>
    <w:rsid w:val="00382304"/>
    <w:rsid w:val="00394913"/>
    <w:rsid w:val="00396270"/>
    <w:rsid w:val="00397C96"/>
    <w:rsid w:val="003A198A"/>
    <w:rsid w:val="003A45CD"/>
    <w:rsid w:val="003D4553"/>
    <w:rsid w:val="003D7C45"/>
    <w:rsid w:val="003F570E"/>
    <w:rsid w:val="00404D55"/>
    <w:rsid w:val="00410914"/>
    <w:rsid w:val="00414D9F"/>
    <w:rsid w:val="00415127"/>
    <w:rsid w:val="00417490"/>
    <w:rsid w:val="00420102"/>
    <w:rsid w:val="00420D6F"/>
    <w:rsid w:val="00425402"/>
    <w:rsid w:val="00434AC6"/>
    <w:rsid w:val="00446D17"/>
    <w:rsid w:val="004509F8"/>
    <w:rsid w:val="004570F9"/>
    <w:rsid w:val="00457643"/>
    <w:rsid w:val="00463D31"/>
    <w:rsid w:val="00465CC3"/>
    <w:rsid w:val="0048136F"/>
    <w:rsid w:val="00481FFE"/>
    <w:rsid w:val="0048201E"/>
    <w:rsid w:val="00493B29"/>
    <w:rsid w:val="004950B6"/>
    <w:rsid w:val="004A24D7"/>
    <w:rsid w:val="004A2597"/>
    <w:rsid w:val="004A7529"/>
    <w:rsid w:val="004B16EC"/>
    <w:rsid w:val="004B2CB9"/>
    <w:rsid w:val="004B68D9"/>
    <w:rsid w:val="004C4671"/>
    <w:rsid w:val="004D52BF"/>
    <w:rsid w:val="00531604"/>
    <w:rsid w:val="00536930"/>
    <w:rsid w:val="00564E53"/>
    <w:rsid w:val="005666A1"/>
    <w:rsid w:val="00567CED"/>
    <w:rsid w:val="00573CF9"/>
    <w:rsid w:val="005813E7"/>
    <w:rsid w:val="00587CF1"/>
    <w:rsid w:val="00591F64"/>
    <w:rsid w:val="00597C92"/>
    <w:rsid w:val="005B20BD"/>
    <w:rsid w:val="005B4F90"/>
    <w:rsid w:val="005B65F0"/>
    <w:rsid w:val="005C1D19"/>
    <w:rsid w:val="005C3408"/>
    <w:rsid w:val="005C6D49"/>
    <w:rsid w:val="005D096A"/>
    <w:rsid w:val="005D31E8"/>
    <w:rsid w:val="005D5659"/>
    <w:rsid w:val="00600C20"/>
    <w:rsid w:val="006216B2"/>
    <w:rsid w:val="00623CC4"/>
    <w:rsid w:val="0062587A"/>
    <w:rsid w:val="00625EB8"/>
    <w:rsid w:val="00631776"/>
    <w:rsid w:val="00640198"/>
    <w:rsid w:val="00644FE2"/>
    <w:rsid w:val="006536B1"/>
    <w:rsid w:val="00655D8B"/>
    <w:rsid w:val="006624A5"/>
    <w:rsid w:val="00664909"/>
    <w:rsid w:val="00667C25"/>
    <w:rsid w:val="006758F6"/>
    <w:rsid w:val="0067640C"/>
    <w:rsid w:val="006812F2"/>
    <w:rsid w:val="0068327D"/>
    <w:rsid w:val="00693B80"/>
    <w:rsid w:val="006A34B6"/>
    <w:rsid w:val="006C5364"/>
    <w:rsid w:val="006C5C0A"/>
    <w:rsid w:val="006C61C7"/>
    <w:rsid w:val="006C6629"/>
    <w:rsid w:val="006E678B"/>
    <w:rsid w:val="006E7B1D"/>
    <w:rsid w:val="006F6796"/>
    <w:rsid w:val="00716E2A"/>
    <w:rsid w:val="00720E29"/>
    <w:rsid w:val="0073334F"/>
    <w:rsid w:val="007340E1"/>
    <w:rsid w:val="00734AAF"/>
    <w:rsid w:val="00741AD2"/>
    <w:rsid w:val="00751FB9"/>
    <w:rsid w:val="007757F3"/>
    <w:rsid w:val="00792035"/>
    <w:rsid w:val="007931B1"/>
    <w:rsid w:val="007A7574"/>
    <w:rsid w:val="007C1B48"/>
    <w:rsid w:val="007D5F21"/>
    <w:rsid w:val="007E3B15"/>
    <w:rsid w:val="007E6AEB"/>
    <w:rsid w:val="0080507E"/>
    <w:rsid w:val="00810FA8"/>
    <w:rsid w:val="00815D94"/>
    <w:rsid w:val="00831CF8"/>
    <w:rsid w:val="008427E6"/>
    <w:rsid w:val="00851400"/>
    <w:rsid w:val="00862FC1"/>
    <w:rsid w:val="00864668"/>
    <w:rsid w:val="00865758"/>
    <w:rsid w:val="00866BDD"/>
    <w:rsid w:val="008807D4"/>
    <w:rsid w:val="00882904"/>
    <w:rsid w:val="008862CE"/>
    <w:rsid w:val="00891A75"/>
    <w:rsid w:val="008973EE"/>
    <w:rsid w:val="008C3D8B"/>
    <w:rsid w:val="008F1530"/>
    <w:rsid w:val="008F78C0"/>
    <w:rsid w:val="00924712"/>
    <w:rsid w:val="00935EF4"/>
    <w:rsid w:val="0093683E"/>
    <w:rsid w:val="00937EB2"/>
    <w:rsid w:val="009410EB"/>
    <w:rsid w:val="00951CE6"/>
    <w:rsid w:val="009570F7"/>
    <w:rsid w:val="009626D1"/>
    <w:rsid w:val="009638F0"/>
    <w:rsid w:val="00963AA1"/>
    <w:rsid w:val="0096433A"/>
    <w:rsid w:val="00971600"/>
    <w:rsid w:val="00985F96"/>
    <w:rsid w:val="009942D2"/>
    <w:rsid w:val="009973B4"/>
    <w:rsid w:val="009C0920"/>
    <w:rsid w:val="009C10D7"/>
    <w:rsid w:val="009C28C1"/>
    <w:rsid w:val="009D32F4"/>
    <w:rsid w:val="009E0958"/>
    <w:rsid w:val="009F7EED"/>
    <w:rsid w:val="00A006D5"/>
    <w:rsid w:val="00A015C2"/>
    <w:rsid w:val="00A04CDD"/>
    <w:rsid w:val="00A07F3D"/>
    <w:rsid w:val="00A262D1"/>
    <w:rsid w:val="00A2684C"/>
    <w:rsid w:val="00A4750E"/>
    <w:rsid w:val="00A50FFD"/>
    <w:rsid w:val="00A5770F"/>
    <w:rsid w:val="00A62846"/>
    <w:rsid w:val="00A80636"/>
    <w:rsid w:val="00A84CA2"/>
    <w:rsid w:val="00A863B5"/>
    <w:rsid w:val="00A92149"/>
    <w:rsid w:val="00AA6A34"/>
    <w:rsid w:val="00AD3B58"/>
    <w:rsid w:val="00AE2104"/>
    <w:rsid w:val="00AF0AAB"/>
    <w:rsid w:val="00B17DF7"/>
    <w:rsid w:val="00B2425F"/>
    <w:rsid w:val="00B260F9"/>
    <w:rsid w:val="00B36FE0"/>
    <w:rsid w:val="00B470A1"/>
    <w:rsid w:val="00B5718A"/>
    <w:rsid w:val="00B607CC"/>
    <w:rsid w:val="00B664BD"/>
    <w:rsid w:val="00B90EE8"/>
    <w:rsid w:val="00BA25D3"/>
    <w:rsid w:val="00BA4ABC"/>
    <w:rsid w:val="00BA51AD"/>
    <w:rsid w:val="00BA62A5"/>
    <w:rsid w:val="00BB0FE9"/>
    <w:rsid w:val="00BB2F46"/>
    <w:rsid w:val="00BD0660"/>
    <w:rsid w:val="00BD41CF"/>
    <w:rsid w:val="00BD55F8"/>
    <w:rsid w:val="00BD72DF"/>
    <w:rsid w:val="00BD7F8E"/>
    <w:rsid w:val="00BF597E"/>
    <w:rsid w:val="00C0101A"/>
    <w:rsid w:val="00C1461C"/>
    <w:rsid w:val="00C3300E"/>
    <w:rsid w:val="00C51A36"/>
    <w:rsid w:val="00C5281C"/>
    <w:rsid w:val="00C52F67"/>
    <w:rsid w:val="00C5350C"/>
    <w:rsid w:val="00C55228"/>
    <w:rsid w:val="00C63768"/>
    <w:rsid w:val="00C64956"/>
    <w:rsid w:val="00C8369A"/>
    <w:rsid w:val="00C83833"/>
    <w:rsid w:val="00CA6143"/>
    <w:rsid w:val="00CB0C6D"/>
    <w:rsid w:val="00CB6059"/>
    <w:rsid w:val="00CD261C"/>
    <w:rsid w:val="00CD5500"/>
    <w:rsid w:val="00CE315A"/>
    <w:rsid w:val="00D06F59"/>
    <w:rsid w:val="00D15794"/>
    <w:rsid w:val="00D17899"/>
    <w:rsid w:val="00D2392F"/>
    <w:rsid w:val="00D2679B"/>
    <w:rsid w:val="00D4567C"/>
    <w:rsid w:val="00D56177"/>
    <w:rsid w:val="00D60790"/>
    <w:rsid w:val="00D75148"/>
    <w:rsid w:val="00D8388C"/>
    <w:rsid w:val="00D85C47"/>
    <w:rsid w:val="00D8636C"/>
    <w:rsid w:val="00D868B7"/>
    <w:rsid w:val="00D91251"/>
    <w:rsid w:val="00D93B29"/>
    <w:rsid w:val="00DA1D96"/>
    <w:rsid w:val="00DB21D7"/>
    <w:rsid w:val="00DC0E98"/>
    <w:rsid w:val="00DC1BCC"/>
    <w:rsid w:val="00DD316B"/>
    <w:rsid w:val="00E01A7B"/>
    <w:rsid w:val="00E14A4F"/>
    <w:rsid w:val="00E36B0E"/>
    <w:rsid w:val="00E4480A"/>
    <w:rsid w:val="00E44D68"/>
    <w:rsid w:val="00E4608B"/>
    <w:rsid w:val="00E51D4C"/>
    <w:rsid w:val="00E53DDF"/>
    <w:rsid w:val="00E6224C"/>
    <w:rsid w:val="00E647F3"/>
    <w:rsid w:val="00E67769"/>
    <w:rsid w:val="00E742CF"/>
    <w:rsid w:val="00EA05F9"/>
    <w:rsid w:val="00EA450A"/>
    <w:rsid w:val="00EB0164"/>
    <w:rsid w:val="00EB7075"/>
    <w:rsid w:val="00EC573D"/>
    <w:rsid w:val="00ED0F62"/>
    <w:rsid w:val="00EE0452"/>
    <w:rsid w:val="00F06441"/>
    <w:rsid w:val="00F21405"/>
    <w:rsid w:val="00F21EF6"/>
    <w:rsid w:val="00F221BB"/>
    <w:rsid w:val="00F372EF"/>
    <w:rsid w:val="00F4680C"/>
    <w:rsid w:val="00F532A7"/>
    <w:rsid w:val="00F540D0"/>
    <w:rsid w:val="00F60867"/>
    <w:rsid w:val="00F63ECA"/>
    <w:rsid w:val="00F933DA"/>
    <w:rsid w:val="00F9771E"/>
    <w:rsid w:val="00FA5300"/>
    <w:rsid w:val="00FC192D"/>
    <w:rsid w:val="00FC2BC0"/>
    <w:rsid w:val="00FD7A10"/>
    <w:rsid w:val="00FD7DF4"/>
    <w:rsid w:val="00FF7401"/>
    <w:rsid w:val="01260C71"/>
    <w:rsid w:val="01A321D9"/>
    <w:rsid w:val="01E27364"/>
    <w:rsid w:val="01FE18C8"/>
    <w:rsid w:val="02797701"/>
    <w:rsid w:val="02C75A20"/>
    <w:rsid w:val="032F5195"/>
    <w:rsid w:val="03A0688A"/>
    <w:rsid w:val="03A32F8E"/>
    <w:rsid w:val="03AB4A3B"/>
    <w:rsid w:val="03AC3D8E"/>
    <w:rsid w:val="03CE483E"/>
    <w:rsid w:val="03CF54E8"/>
    <w:rsid w:val="0405614C"/>
    <w:rsid w:val="04883DB3"/>
    <w:rsid w:val="04981EC9"/>
    <w:rsid w:val="050D3D1E"/>
    <w:rsid w:val="056577F0"/>
    <w:rsid w:val="05705C5F"/>
    <w:rsid w:val="057753FF"/>
    <w:rsid w:val="05A05014"/>
    <w:rsid w:val="05B44859"/>
    <w:rsid w:val="05D4332F"/>
    <w:rsid w:val="05F6270F"/>
    <w:rsid w:val="0605101B"/>
    <w:rsid w:val="061B4460"/>
    <w:rsid w:val="063554F0"/>
    <w:rsid w:val="06444A1B"/>
    <w:rsid w:val="067B702D"/>
    <w:rsid w:val="06994A8D"/>
    <w:rsid w:val="06AA7E97"/>
    <w:rsid w:val="06ED612A"/>
    <w:rsid w:val="07FD44A3"/>
    <w:rsid w:val="081E2104"/>
    <w:rsid w:val="086B3934"/>
    <w:rsid w:val="08761C7A"/>
    <w:rsid w:val="08767210"/>
    <w:rsid w:val="08851DD7"/>
    <w:rsid w:val="08C22483"/>
    <w:rsid w:val="08ED1EE8"/>
    <w:rsid w:val="09005957"/>
    <w:rsid w:val="09120187"/>
    <w:rsid w:val="094663BE"/>
    <w:rsid w:val="096333C5"/>
    <w:rsid w:val="09933EF9"/>
    <w:rsid w:val="09AA0CA5"/>
    <w:rsid w:val="09FA6045"/>
    <w:rsid w:val="0A0F142E"/>
    <w:rsid w:val="0A1C56C1"/>
    <w:rsid w:val="0A8709B9"/>
    <w:rsid w:val="0A904067"/>
    <w:rsid w:val="0AAB13CF"/>
    <w:rsid w:val="0ACA6ED2"/>
    <w:rsid w:val="0AEF4D8D"/>
    <w:rsid w:val="0BE64DFF"/>
    <w:rsid w:val="0C5423F7"/>
    <w:rsid w:val="0C8009B8"/>
    <w:rsid w:val="0CC102DA"/>
    <w:rsid w:val="0D181113"/>
    <w:rsid w:val="0D1E4D9B"/>
    <w:rsid w:val="0D270A06"/>
    <w:rsid w:val="0D4D1326"/>
    <w:rsid w:val="0D6A2C36"/>
    <w:rsid w:val="0DB35CC0"/>
    <w:rsid w:val="0E385B07"/>
    <w:rsid w:val="0E49595F"/>
    <w:rsid w:val="0EB8524B"/>
    <w:rsid w:val="0F86648B"/>
    <w:rsid w:val="0F9C35C1"/>
    <w:rsid w:val="0FFA42BF"/>
    <w:rsid w:val="10062D9E"/>
    <w:rsid w:val="100B6D7F"/>
    <w:rsid w:val="100D075A"/>
    <w:rsid w:val="106A3497"/>
    <w:rsid w:val="108219C2"/>
    <w:rsid w:val="10991918"/>
    <w:rsid w:val="10A120FB"/>
    <w:rsid w:val="10AB5B5F"/>
    <w:rsid w:val="10C112A0"/>
    <w:rsid w:val="10C11C69"/>
    <w:rsid w:val="10DD2E35"/>
    <w:rsid w:val="11536201"/>
    <w:rsid w:val="115D3DB9"/>
    <w:rsid w:val="119E3FF4"/>
    <w:rsid w:val="11BD2BE2"/>
    <w:rsid w:val="11BE2038"/>
    <w:rsid w:val="11DC0AC4"/>
    <w:rsid w:val="11E2439D"/>
    <w:rsid w:val="124C3B13"/>
    <w:rsid w:val="12563B2D"/>
    <w:rsid w:val="12A2571D"/>
    <w:rsid w:val="12A42EA7"/>
    <w:rsid w:val="12A506D3"/>
    <w:rsid w:val="13296CDD"/>
    <w:rsid w:val="134E7573"/>
    <w:rsid w:val="13890C2B"/>
    <w:rsid w:val="13A420AC"/>
    <w:rsid w:val="13C11723"/>
    <w:rsid w:val="13C31FF4"/>
    <w:rsid w:val="13EB79B2"/>
    <w:rsid w:val="140E0601"/>
    <w:rsid w:val="145B46D3"/>
    <w:rsid w:val="14BA1243"/>
    <w:rsid w:val="14C400FD"/>
    <w:rsid w:val="14EF5EB2"/>
    <w:rsid w:val="14F1297E"/>
    <w:rsid w:val="14F26225"/>
    <w:rsid w:val="15023387"/>
    <w:rsid w:val="15051B66"/>
    <w:rsid w:val="151414F9"/>
    <w:rsid w:val="154C7AB0"/>
    <w:rsid w:val="155F4281"/>
    <w:rsid w:val="158035C7"/>
    <w:rsid w:val="15BC540D"/>
    <w:rsid w:val="16210B83"/>
    <w:rsid w:val="16583F2B"/>
    <w:rsid w:val="16912340"/>
    <w:rsid w:val="169D3E09"/>
    <w:rsid w:val="16AB3CAD"/>
    <w:rsid w:val="16E341B9"/>
    <w:rsid w:val="16F10A78"/>
    <w:rsid w:val="1712627E"/>
    <w:rsid w:val="17226BDD"/>
    <w:rsid w:val="17446813"/>
    <w:rsid w:val="177551EA"/>
    <w:rsid w:val="179B1D36"/>
    <w:rsid w:val="17C079EC"/>
    <w:rsid w:val="17F76BA3"/>
    <w:rsid w:val="182A66F0"/>
    <w:rsid w:val="182F656A"/>
    <w:rsid w:val="186A6524"/>
    <w:rsid w:val="186F767B"/>
    <w:rsid w:val="187F0353"/>
    <w:rsid w:val="188852B3"/>
    <w:rsid w:val="18DD0D85"/>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327EE5"/>
    <w:rsid w:val="1B462375"/>
    <w:rsid w:val="1B5E3B97"/>
    <w:rsid w:val="1C392A3A"/>
    <w:rsid w:val="1C4C1E84"/>
    <w:rsid w:val="1C880B67"/>
    <w:rsid w:val="1C923014"/>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A5651D"/>
    <w:rsid w:val="21D24208"/>
    <w:rsid w:val="22044DFC"/>
    <w:rsid w:val="2241348F"/>
    <w:rsid w:val="226B1105"/>
    <w:rsid w:val="226B2F60"/>
    <w:rsid w:val="22813299"/>
    <w:rsid w:val="23194B67"/>
    <w:rsid w:val="232E1BCD"/>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3D4E54"/>
    <w:rsid w:val="27443F4D"/>
    <w:rsid w:val="274B78E8"/>
    <w:rsid w:val="27602485"/>
    <w:rsid w:val="27CF15FE"/>
    <w:rsid w:val="27D42EE9"/>
    <w:rsid w:val="27E10A81"/>
    <w:rsid w:val="27FE6486"/>
    <w:rsid w:val="280B3F2E"/>
    <w:rsid w:val="28247B4B"/>
    <w:rsid w:val="28341F0D"/>
    <w:rsid w:val="28481DD2"/>
    <w:rsid w:val="2892323E"/>
    <w:rsid w:val="289361DE"/>
    <w:rsid w:val="28E623FA"/>
    <w:rsid w:val="291C5E47"/>
    <w:rsid w:val="296D2D47"/>
    <w:rsid w:val="29CB46C2"/>
    <w:rsid w:val="29E253FB"/>
    <w:rsid w:val="29F77BA5"/>
    <w:rsid w:val="2A3A6E77"/>
    <w:rsid w:val="2A85024C"/>
    <w:rsid w:val="2B0D2F04"/>
    <w:rsid w:val="2B1D2572"/>
    <w:rsid w:val="2B206A2D"/>
    <w:rsid w:val="2B4C1179"/>
    <w:rsid w:val="2BD60481"/>
    <w:rsid w:val="2BEA3FA7"/>
    <w:rsid w:val="2C0D0D35"/>
    <w:rsid w:val="2C2E44D4"/>
    <w:rsid w:val="2C6F7203"/>
    <w:rsid w:val="2C7B6C71"/>
    <w:rsid w:val="2D357F0D"/>
    <w:rsid w:val="2D4E604F"/>
    <w:rsid w:val="2D5C2AB0"/>
    <w:rsid w:val="2D7A20E6"/>
    <w:rsid w:val="2DC57805"/>
    <w:rsid w:val="2DDA0493"/>
    <w:rsid w:val="2DDF08DF"/>
    <w:rsid w:val="2DFF79D8"/>
    <w:rsid w:val="2E32284C"/>
    <w:rsid w:val="2E367C56"/>
    <w:rsid w:val="2E440885"/>
    <w:rsid w:val="2EEE512C"/>
    <w:rsid w:val="2F462957"/>
    <w:rsid w:val="2F511B05"/>
    <w:rsid w:val="2F7C571D"/>
    <w:rsid w:val="2FA86B66"/>
    <w:rsid w:val="2FE823A5"/>
    <w:rsid w:val="2FEA1C57"/>
    <w:rsid w:val="300172B8"/>
    <w:rsid w:val="30945277"/>
    <w:rsid w:val="30C71DD4"/>
    <w:rsid w:val="30DC7CB1"/>
    <w:rsid w:val="30ED30CC"/>
    <w:rsid w:val="31064141"/>
    <w:rsid w:val="310D6AA3"/>
    <w:rsid w:val="31482B78"/>
    <w:rsid w:val="31B477DB"/>
    <w:rsid w:val="31B67BE2"/>
    <w:rsid w:val="31CA71DD"/>
    <w:rsid w:val="324E5138"/>
    <w:rsid w:val="331E21CE"/>
    <w:rsid w:val="33562A0D"/>
    <w:rsid w:val="33715F28"/>
    <w:rsid w:val="33F07155"/>
    <w:rsid w:val="340C6245"/>
    <w:rsid w:val="343C4522"/>
    <w:rsid w:val="347A0336"/>
    <w:rsid w:val="34E01A92"/>
    <w:rsid w:val="34F92D63"/>
    <w:rsid w:val="35527F1F"/>
    <w:rsid w:val="357914C0"/>
    <w:rsid w:val="35CA668A"/>
    <w:rsid w:val="35D721CD"/>
    <w:rsid w:val="35DF4228"/>
    <w:rsid w:val="36174333"/>
    <w:rsid w:val="364A3F09"/>
    <w:rsid w:val="364C3817"/>
    <w:rsid w:val="367A501B"/>
    <w:rsid w:val="368249AA"/>
    <w:rsid w:val="36EA501F"/>
    <w:rsid w:val="372D3763"/>
    <w:rsid w:val="37A3423F"/>
    <w:rsid w:val="37A66325"/>
    <w:rsid w:val="37AF435B"/>
    <w:rsid w:val="37B82B0E"/>
    <w:rsid w:val="37D8509F"/>
    <w:rsid w:val="380178E9"/>
    <w:rsid w:val="38363F4B"/>
    <w:rsid w:val="385F5D57"/>
    <w:rsid w:val="386866FF"/>
    <w:rsid w:val="38803663"/>
    <w:rsid w:val="389A539F"/>
    <w:rsid w:val="38B37216"/>
    <w:rsid w:val="38BD5C7F"/>
    <w:rsid w:val="38C5580C"/>
    <w:rsid w:val="38EC325F"/>
    <w:rsid w:val="39090322"/>
    <w:rsid w:val="39286E54"/>
    <w:rsid w:val="399117DD"/>
    <w:rsid w:val="39972637"/>
    <w:rsid w:val="39D7104B"/>
    <w:rsid w:val="3A3E0D9F"/>
    <w:rsid w:val="3A5573DE"/>
    <w:rsid w:val="3AAB1306"/>
    <w:rsid w:val="3ABD0173"/>
    <w:rsid w:val="3ACE23E2"/>
    <w:rsid w:val="3B227AA7"/>
    <w:rsid w:val="3B4241C0"/>
    <w:rsid w:val="3B5F0280"/>
    <w:rsid w:val="3B8C1823"/>
    <w:rsid w:val="3BCD5A20"/>
    <w:rsid w:val="3BEE1D6F"/>
    <w:rsid w:val="3BF1473C"/>
    <w:rsid w:val="3CA475E5"/>
    <w:rsid w:val="3CA717F2"/>
    <w:rsid w:val="3CC56579"/>
    <w:rsid w:val="3CEB2CC9"/>
    <w:rsid w:val="3D053E44"/>
    <w:rsid w:val="3D721433"/>
    <w:rsid w:val="3D7C5D45"/>
    <w:rsid w:val="3DA34201"/>
    <w:rsid w:val="3DAB460B"/>
    <w:rsid w:val="3DDA7DB2"/>
    <w:rsid w:val="3DF92E01"/>
    <w:rsid w:val="3E342793"/>
    <w:rsid w:val="3E3C5235"/>
    <w:rsid w:val="3EA34B57"/>
    <w:rsid w:val="3ED604A2"/>
    <w:rsid w:val="3EEF1E6E"/>
    <w:rsid w:val="3F654598"/>
    <w:rsid w:val="3FEB6494"/>
    <w:rsid w:val="40571F31"/>
    <w:rsid w:val="40760623"/>
    <w:rsid w:val="408B7234"/>
    <w:rsid w:val="40E27AF7"/>
    <w:rsid w:val="40F80D82"/>
    <w:rsid w:val="41342A6B"/>
    <w:rsid w:val="414C7183"/>
    <w:rsid w:val="418D501C"/>
    <w:rsid w:val="41BB58E6"/>
    <w:rsid w:val="41C832C7"/>
    <w:rsid w:val="41E9167B"/>
    <w:rsid w:val="42416B50"/>
    <w:rsid w:val="4262379E"/>
    <w:rsid w:val="427A1188"/>
    <w:rsid w:val="4289200B"/>
    <w:rsid w:val="42C77562"/>
    <w:rsid w:val="432A5E11"/>
    <w:rsid w:val="433B1167"/>
    <w:rsid w:val="433E2DC7"/>
    <w:rsid w:val="435F500F"/>
    <w:rsid w:val="43C730CD"/>
    <w:rsid w:val="441D0975"/>
    <w:rsid w:val="44A567F5"/>
    <w:rsid w:val="453B1EBC"/>
    <w:rsid w:val="45635AEC"/>
    <w:rsid w:val="45B27C46"/>
    <w:rsid w:val="45BA54FA"/>
    <w:rsid w:val="45EC74A5"/>
    <w:rsid w:val="45FA6B69"/>
    <w:rsid w:val="460414DD"/>
    <w:rsid w:val="46332B60"/>
    <w:rsid w:val="4654705C"/>
    <w:rsid w:val="468C6A25"/>
    <w:rsid w:val="468D2C1F"/>
    <w:rsid w:val="468D3CA5"/>
    <w:rsid w:val="4694248B"/>
    <w:rsid w:val="46A32063"/>
    <w:rsid w:val="46EA7997"/>
    <w:rsid w:val="470243E7"/>
    <w:rsid w:val="471F1498"/>
    <w:rsid w:val="47271944"/>
    <w:rsid w:val="475C4BFE"/>
    <w:rsid w:val="47BB044C"/>
    <w:rsid w:val="47F95078"/>
    <w:rsid w:val="48262DE5"/>
    <w:rsid w:val="489C0A39"/>
    <w:rsid w:val="490747F7"/>
    <w:rsid w:val="49105C6D"/>
    <w:rsid w:val="496D185A"/>
    <w:rsid w:val="49C0281D"/>
    <w:rsid w:val="49E449BF"/>
    <w:rsid w:val="49EC77B8"/>
    <w:rsid w:val="49ED5B1C"/>
    <w:rsid w:val="4AD45EF1"/>
    <w:rsid w:val="4AE04A18"/>
    <w:rsid w:val="4B12455E"/>
    <w:rsid w:val="4B337454"/>
    <w:rsid w:val="4B407CC6"/>
    <w:rsid w:val="4B42232B"/>
    <w:rsid w:val="4B825A76"/>
    <w:rsid w:val="4B8B3702"/>
    <w:rsid w:val="4B9B0D7E"/>
    <w:rsid w:val="4B9C6F9C"/>
    <w:rsid w:val="4BC83B65"/>
    <w:rsid w:val="4BC87AB0"/>
    <w:rsid w:val="4C1454A4"/>
    <w:rsid w:val="4CA74E41"/>
    <w:rsid w:val="4CA91B51"/>
    <w:rsid w:val="4CB62537"/>
    <w:rsid w:val="4CD2365B"/>
    <w:rsid w:val="4CFB4E3C"/>
    <w:rsid w:val="4D352804"/>
    <w:rsid w:val="4D791805"/>
    <w:rsid w:val="4D8F2F88"/>
    <w:rsid w:val="4DB86BCB"/>
    <w:rsid w:val="4DD85058"/>
    <w:rsid w:val="4E0166A9"/>
    <w:rsid w:val="4E1551DB"/>
    <w:rsid w:val="4E7774D0"/>
    <w:rsid w:val="4F594843"/>
    <w:rsid w:val="4FAF3052"/>
    <w:rsid w:val="503C3BCC"/>
    <w:rsid w:val="505C4971"/>
    <w:rsid w:val="50C41CF1"/>
    <w:rsid w:val="51217DA6"/>
    <w:rsid w:val="51294703"/>
    <w:rsid w:val="51425A27"/>
    <w:rsid w:val="5158757E"/>
    <w:rsid w:val="521A5D1E"/>
    <w:rsid w:val="523624DE"/>
    <w:rsid w:val="52A23F56"/>
    <w:rsid w:val="52BA5471"/>
    <w:rsid w:val="52D871F4"/>
    <w:rsid w:val="52F263D6"/>
    <w:rsid w:val="52F569F3"/>
    <w:rsid w:val="52F737EA"/>
    <w:rsid w:val="53024EB7"/>
    <w:rsid w:val="53261795"/>
    <w:rsid w:val="5373268D"/>
    <w:rsid w:val="53953BE7"/>
    <w:rsid w:val="53F51637"/>
    <w:rsid w:val="54124FEF"/>
    <w:rsid w:val="541C4B67"/>
    <w:rsid w:val="552A2893"/>
    <w:rsid w:val="555A4FF2"/>
    <w:rsid w:val="556B045B"/>
    <w:rsid w:val="557D4E77"/>
    <w:rsid w:val="55C375DD"/>
    <w:rsid w:val="56156439"/>
    <w:rsid w:val="5656544C"/>
    <w:rsid w:val="56643532"/>
    <w:rsid w:val="568B5A7B"/>
    <w:rsid w:val="56EF2BB9"/>
    <w:rsid w:val="570A6E63"/>
    <w:rsid w:val="573B0118"/>
    <w:rsid w:val="573D2268"/>
    <w:rsid w:val="57411925"/>
    <w:rsid w:val="57441E32"/>
    <w:rsid w:val="57535542"/>
    <w:rsid w:val="575B3098"/>
    <w:rsid w:val="577F7188"/>
    <w:rsid w:val="57F55B90"/>
    <w:rsid w:val="580F191D"/>
    <w:rsid w:val="58276F84"/>
    <w:rsid w:val="58584813"/>
    <w:rsid w:val="58B728A2"/>
    <w:rsid w:val="58B868EB"/>
    <w:rsid w:val="590D059A"/>
    <w:rsid w:val="592802C2"/>
    <w:rsid w:val="5939327C"/>
    <w:rsid w:val="5978735A"/>
    <w:rsid w:val="59AF126F"/>
    <w:rsid w:val="59E42114"/>
    <w:rsid w:val="59E710C8"/>
    <w:rsid w:val="5A0B0AB5"/>
    <w:rsid w:val="5A1C59A1"/>
    <w:rsid w:val="5A407674"/>
    <w:rsid w:val="5A432974"/>
    <w:rsid w:val="5A6A20C5"/>
    <w:rsid w:val="5AD64AF2"/>
    <w:rsid w:val="5AEE39DB"/>
    <w:rsid w:val="5B046AEC"/>
    <w:rsid w:val="5B544EB3"/>
    <w:rsid w:val="5B6A33DD"/>
    <w:rsid w:val="5BD1484D"/>
    <w:rsid w:val="5BF04FFA"/>
    <w:rsid w:val="5C4D2649"/>
    <w:rsid w:val="5C8D6CFF"/>
    <w:rsid w:val="5C966EB6"/>
    <w:rsid w:val="5C9E007C"/>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EF56050"/>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8F4421"/>
    <w:rsid w:val="62CA4AF4"/>
    <w:rsid w:val="62E4371E"/>
    <w:rsid w:val="6306254B"/>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9E6788"/>
    <w:rsid w:val="66B368AE"/>
    <w:rsid w:val="66B532F3"/>
    <w:rsid w:val="66C2760F"/>
    <w:rsid w:val="675A3B6C"/>
    <w:rsid w:val="677C2796"/>
    <w:rsid w:val="67AF7DB6"/>
    <w:rsid w:val="680564C6"/>
    <w:rsid w:val="681B3F7A"/>
    <w:rsid w:val="68233428"/>
    <w:rsid w:val="684B51CE"/>
    <w:rsid w:val="68575061"/>
    <w:rsid w:val="68B54AF7"/>
    <w:rsid w:val="68CA009F"/>
    <w:rsid w:val="695B5920"/>
    <w:rsid w:val="69B35A0D"/>
    <w:rsid w:val="69CC607C"/>
    <w:rsid w:val="69EA1163"/>
    <w:rsid w:val="69F96768"/>
    <w:rsid w:val="6A287F98"/>
    <w:rsid w:val="6AB40496"/>
    <w:rsid w:val="6ABD1D5E"/>
    <w:rsid w:val="6AE81CC5"/>
    <w:rsid w:val="6AF33939"/>
    <w:rsid w:val="6B795D62"/>
    <w:rsid w:val="6BC747F5"/>
    <w:rsid w:val="6BD35CE4"/>
    <w:rsid w:val="6C3014BE"/>
    <w:rsid w:val="6C5D414F"/>
    <w:rsid w:val="6C635932"/>
    <w:rsid w:val="6CA324B4"/>
    <w:rsid w:val="6CC44B47"/>
    <w:rsid w:val="6CDE17FD"/>
    <w:rsid w:val="6D1D2C91"/>
    <w:rsid w:val="6D232D3C"/>
    <w:rsid w:val="6D2F5D1E"/>
    <w:rsid w:val="6D792112"/>
    <w:rsid w:val="6E641038"/>
    <w:rsid w:val="6EBD0EA6"/>
    <w:rsid w:val="6F2F5C01"/>
    <w:rsid w:val="6F435405"/>
    <w:rsid w:val="6F4810D8"/>
    <w:rsid w:val="6F6D2BAA"/>
    <w:rsid w:val="6F9119BB"/>
    <w:rsid w:val="6F9A4A47"/>
    <w:rsid w:val="701710D0"/>
    <w:rsid w:val="70795456"/>
    <w:rsid w:val="709946EC"/>
    <w:rsid w:val="70B256FB"/>
    <w:rsid w:val="72226A31"/>
    <w:rsid w:val="72702455"/>
    <w:rsid w:val="728F2E47"/>
    <w:rsid w:val="72973011"/>
    <w:rsid w:val="72E42D1B"/>
    <w:rsid w:val="734F0911"/>
    <w:rsid w:val="736054C4"/>
    <w:rsid w:val="736C572D"/>
    <w:rsid w:val="73A422EB"/>
    <w:rsid w:val="74103E55"/>
    <w:rsid w:val="745B622A"/>
    <w:rsid w:val="74B64014"/>
    <w:rsid w:val="753E2D2E"/>
    <w:rsid w:val="75950E53"/>
    <w:rsid w:val="75B91B9C"/>
    <w:rsid w:val="75DB13A5"/>
    <w:rsid w:val="75E00376"/>
    <w:rsid w:val="75E552E3"/>
    <w:rsid w:val="762E2DED"/>
    <w:rsid w:val="7648538B"/>
    <w:rsid w:val="76577132"/>
    <w:rsid w:val="76BD747C"/>
    <w:rsid w:val="76CD52EB"/>
    <w:rsid w:val="76FE004A"/>
    <w:rsid w:val="771B17CC"/>
    <w:rsid w:val="77462C4C"/>
    <w:rsid w:val="77A268F6"/>
    <w:rsid w:val="77CC3658"/>
    <w:rsid w:val="780F54C3"/>
    <w:rsid w:val="782C6CF7"/>
    <w:rsid w:val="78680ECD"/>
    <w:rsid w:val="7880670B"/>
    <w:rsid w:val="78A25951"/>
    <w:rsid w:val="78A35FE5"/>
    <w:rsid w:val="78C4002B"/>
    <w:rsid w:val="78E96823"/>
    <w:rsid w:val="78EE7F5B"/>
    <w:rsid w:val="78F11CE1"/>
    <w:rsid w:val="78F66955"/>
    <w:rsid w:val="78F8423B"/>
    <w:rsid w:val="79053EDA"/>
    <w:rsid w:val="79097264"/>
    <w:rsid w:val="791D3993"/>
    <w:rsid w:val="79202162"/>
    <w:rsid w:val="7924138B"/>
    <w:rsid w:val="79826449"/>
    <w:rsid w:val="79B34208"/>
    <w:rsid w:val="79D339B9"/>
    <w:rsid w:val="7A200C95"/>
    <w:rsid w:val="7A594332"/>
    <w:rsid w:val="7A8564DB"/>
    <w:rsid w:val="7AC22B97"/>
    <w:rsid w:val="7B190280"/>
    <w:rsid w:val="7B1F77A4"/>
    <w:rsid w:val="7B292799"/>
    <w:rsid w:val="7C090682"/>
    <w:rsid w:val="7C183634"/>
    <w:rsid w:val="7C351D89"/>
    <w:rsid w:val="7C6A6CA8"/>
    <w:rsid w:val="7C9307A3"/>
    <w:rsid w:val="7CE81F24"/>
    <w:rsid w:val="7CF04E00"/>
    <w:rsid w:val="7D41026F"/>
    <w:rsid w:val="7D59343F"/>
    <w:rsid w:val="7E0A78B3"/>
    <w:rsid w:val="7E2912F3"/>
    <w:rsid w:val="7F850D3B"/>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rFonts w:ascii="Times New Roman" w:hAnsi="Times New Roman" w:eastAsia="宋体" w:cs="Times New Roman"/>
      <w:sz w:val="18"/>
      <w:szCs w:val="18"/>
    </w:rPr>
  </w:style>
  <w:style w:type="character" w:customStyle="1" w:styleId="11">
    <w:name w:val="页脚 Char"/>
    <w:basedOn w:val="9"/>
    <w:link w:val="4"/>
    <w:qFormat/>
    <w:uiPriority w:val="99"/>
    <w:rPr>
      <w:rFonts w:ascii="Times New Roman" w:hAnsi="Times New Roman" w:eastAsia="宋体" w:cs="Times New Roman"/>
      <w:sz w:val="18"/>
      <w:szCs w:val="18"/>
    </w:rPr>
  </w:style>
  <w:style w:type="character" w:customStyle="1" w:styleId="12">
    <w:name w:val="批注框文本 Char"/>
    <w:basedOn w:val="9"/>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1058</Words>
  <Characters>6034</Characters>
  <Lines>50</Lines>
  <Paragraphs>14</Paragraphs>
  <TotalTime>1</TotalTime>
  <ScaleCrop>false</ScaleCrop>
  <LinksUpToDate>false</LinksUpToDate>
  <CharactersWithSpaces>7078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2020-05-21T17:17:00Z</dcterms:created>
  <dc:creator>微软用户</dc:creator>
  <cp:lastModifiedBy>张磊</cp:lastModifiedBy>
  <dcterms:modified xsi:type="dcterms:W3CDTF">2020-07-10T02:25:15Z</dcterms:modified>
  <cp:revision>769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