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szCs w:val="21"/>
              </w:rPr>
              <w:t>6.2/8.4/ 8.5.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79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6"/>
              <w:gridCol w:w="1093"/>
              <w:gridCol w:w="1820"/>
              <w:gridCol w:w="1987"/>
              <w:gridCol w:w="14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160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质量目标</w:t>
                  </w:r>
                </w:p>
              </w:tc>
              <w:tc>
                <w:tcPr>
                  <w:tcW w:w="109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分解部门</w:t>
                  </w:r>
                </w:p>
              </w:tc>
              <w:tc>
                <w:tcPr>
                  <w:tcW w:w="1820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分解目标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考核办法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5" w:hRule="atLeast"/>
              </w:trPr>
              <w:tc>
                <w:tcPr>
                  <w:tcW w:w="1606" w:type="dxa"/>
                  <w:vMerge w:val="restart"/>
                  <w:vAlign w:val="center"/>
                </w:tcPr>
                <w:p>
                  <w:pPr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b)产品验收合格率100 %；</w:t>
                  </w:r>
                </w:p>
                <w:p>
                  <w:pPr>
                    <w:jc w:val="left"/>
                    <w:rPr>
                      <w:rFonts w:hint="eastAsia"/>
                      <w:sz w:val="21"/>
                      <w:szCs w:val="21"/>
                    </w:rPr>
                  </w:pPr>
                </w:p>
                <w:p>
                  <w:pPr>
                    <w:jc w:val="lef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d)重大食品安全事故为0。</w:t>
                  </w:r>
                </w:p>
              </w:tc>
              <w:tc>
                <w:tcPr>
                  <w:tcW w:w="109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采购</w:t>
                  </w:r>
                  <w:r>
                    <w:rPr>
                      <w:rFonts w:hint="eastAsia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182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1.合同评审率 100%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每半年对订单评审情况进行考核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0" w:hRule="atLeast"/>
              </w:trPr>
              <w:tc>
                <w:tcPr>
                  <w:tcW w:w="160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9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2.供方评定率 100%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每年对主要原材料的供方评定，复评记录进行检查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5" w:hRule="atLeast"/>
              </w:trPr>
              <w:tc>
                <w:tcPr>
                  <w:tcW w:w="1606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09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  <w:r>
                    <w:rPr>
                      <w:rFonts w:hint="eastAsia"/>
                      <w:sz w:val="21"/>
                      <w:szCs w:val="21"/>
                    </w:rPr>
                    <w:t>.合同履行率 100%</w:t>
                  </w:r>
                </w:p>
              </w:tc>
              <w:tc>
                <w:tcPr>
                  <w:tcW w:w="198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每年对合同履行情况进行考核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10</w:t>
                  </w:r>
                  <w:bookmarkStart w:id="0" w:name="_GoBack"/>
                  <w:bookmarkEnd w:id="0"/>
                  <w:r>
                    <w:rPr>
                      <w:rFonts w:hint="eastAsia"/>
                      <w:sz w:val="21"/>
                      <w:szCs w:val="21"/>
                    </w:rPr>
                    <w:t>0%</w:t>
                  </w:r>
                </w:p>
              </w:tc>
            </w:tr>
          </w:tbl>
          <w:p>
            <w:pPr>
              <w:pStyle w:val="2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如：《物资采购控制程序》、《合格供方评价程序》</w:t>
            </w:r>
          </w:p>
        </w:tc>
        <w:tc>
          <w:tcPr>
            <w:tcW w:w="1585" w:type="dxa"/>
            <w:vMerge w:val="restart"/>
          </w:tcPr>
          <w:p/>
          <w:p>
            <w:r>
              <w:rPr>
                <w:rFonts w:hint="eastAsia"/>
                <w:lang w:val="en-US" w:eastAsia="zh-CN"/>
              </w:rPr>
              <w:t>合格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吴中区黄泾濮晓明蔬菜摊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923205Q6MA1P8K2458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《工业产品许可证》编号：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《食品生产许可证》编号：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u w:val="single"/>
                    </w:rPr>
                    <w:t xml:space="preserve">（适用时）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《危化品经营许可证》编号：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山东龙大肉食品股份有限公司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肉食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913700007591559056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食品经营许可证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913700007591559056 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color w:val="auto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质量符合标准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15"/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此外还抽查了：</w:t>
            </w:r>
          </w:p>
          <w:p>
            <w:pPr>
              <w:pStyle w:val="15"/>
              <w:spacing w:line="340" w:lineRule="exact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鸡蛋，由东台市正宽禽蛋专业合作社，提供了营业执照、食品经营许可证。</w:t>
            </w:r>
          </w:p>
          <w:p>
            <w:pPr>
              <w:pStyle w:val="15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大米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，盘锦红光米业有限公司，提供营业执照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食品生产许可证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检验报告。</w:t>
            </w:r>
          </w:p>
          <w:p>
            <w:pPr>
              <w:pStyle w:val="15"/>
              <w:spacing w:line="34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食用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油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张家港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）粮油工业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有限公司，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提供营业执照、食品生产许可证、检验报告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企业及买即送，保证产品新鲜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抽查重要供方的评价记录名称：《检验报告》和《质检报告》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山东龙大肉食品有限公司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肉食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验证数量、外观、色泽、状态、气味、破次率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对供方的管理体系要求</w:t>
                  </w: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盘锦红光米业有限公司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center"/>
                </w:tcPr>
                <w:p>
                  <w:pPr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验证数量、外观、色泽、状态、气味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>
            <w:r>
              <w:rPr>
                <w:rFonts w:hint="eastAsia"/>
              </w:rPr>
              <w:t>（</w:t>
            </w:r>
            <w:r>
              <w:t>与外部供方沟通的证据</w:t>
            </w:r>
            <w:r>
              <w:rPr>
                <w:rFonts w:hint="eastAsia"/>
              </w:rPr>
              <w:t>？）</w:t>
            </w:r>
          </w:p>
          <w:p>
            <w:r>
              <w:rPr>
                <w:rFonts w:hint="eastAsia"/>
              </w:rPr>
              <w:t>抽查《采购</w:t>
            </w:r>
            <w:r>
              <w:rPr>
                <w:rFonts w:hint="eastAsia"/>
                <w:lang w:val="en-US" w:eastAsia="zh-CN"/>
              </w:rPr>
              <w:t>计划</w:t>
            </w:r>
            <w:r>
              <w:rPr>
                <w:rFonts w:hint="eastAsia"/>
              </w:rPr>
              <w:t>》。组织与外部供方沟通以下要求：</w:t>
            </w:r>
          </w:p>
          <w:tbl>
            <w:tblPr>
              <w:tblStyle w:val="8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2020年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Cs w:val="22"/>
                    </w:rPr>
                    <w:t>月1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冷鲜肉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国标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质检报告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" w:hRule="atLeast"/>
              </w:trPr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采购部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采购部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采购部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订货、送货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《服务提供控制程序A》 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  <w:rPr>
                <w:color w:val="FF0000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无售后服务 </w:t>
            </w:r>
          </w:p>
          <w:p/>
          <w:p>
            <w:pP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抽取交付后的活动控制相关记录名称：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体系运行以来暂未发生</w:t>
            </w:r>
            <w:r>
              <w:rPr>
                <w:rFonts w:hint="eastAsia"/>
                <w:bCs/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投诉及退货</w:t>
            </w:r>
            <w:r>
              <w:rPr>
                <w:rFonts w:hint="eastAsia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UxgbK0AQAAQA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lDhucUSHr18O334cvn8miyzPGGKDUfcB49L01k845md7RGNm&#10;PSmw+Y98CPpR6P1ZXDklItBYXSyX1UVNiUBfVV/Vl0V99is7QEx30luSLy0FHF7RlO/ex4SdYOhz&#10;SC4WvdHdRhtTHtBv3xkgO46D3pQvN4kpv4UZR8aWXtdVXZCdz/nHOOMyjiw7c6qXqR8p5luattNJ&#10;j63v9ijHUwDdD9hqEYTlIBxTqXpaqbwHL994f7n4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Bqrl1gAAAAoBAAAPAAAAAAAAAAEAIAAAACIAAABkcnMvZG93bnJldi54bWxQSwECFAAUAAAACACH&#10;TuJA9TGBsrQBAABAAwAADgAAAAAAAAABACAAAAAlAQAAZHJzL2Uyb0RvYy54bWxQSwUGAAAAAAYA&#10;BgBZAQAAS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46EF"/>
    <w:rsid w:val="00005111"/>
    <w:rsid w:val="000157E3"/>
    <w:rsid w:val="00020B70"/>
    <w:rsid w:val="00021727"/>
    <w:rsid w:val="000237F6"/>
    <w:rsid w:val="0003373A"/>
    <w:rsid w:val="00033FAA"/>
    <w:rsid w:val="00034ABB"/>
    <w:rsid w:val="000400E2"/>
    <w:rsid w:val="000415CE"/>
    <w:rsid w:val="00045443"/>
    <w:rsid w:val="00062870"/>
    <w:rsid w:val="00062E46"/>
    <w:rsid w:val="000771CE"/>
    <w:rsid w:val="0008386E"/>
    <w:rsid w:val="000B19B1"/>
    <w:rsid w:val="000D7CDB"/>
    <w:rsid w:val="000E5A9B"/>
    <w:rsid w:val="000E5D2E"/>
    <w:rsid w:val="000E6B21"/>
    <w:rsid w:val="000F1633"/>
    <w:rsid w:val="0010139B"/>
    <w:rsid w:val="00107F1C"/>
    <w:rsid w:val="00116015"/>
    <w:rsid w:val="00124D92"/>
    <w:rsid w:val="00134566"/>
    <w:rsid w:val="00134809"/>
    <w:rsid w:val="00156444"/>
    <w:rsid w:val="00160E1C"/>
    <w:rsid w:val="00176F8F"/>
    <w:rsid w:val="001A2D7F"/>
    <w:rsid w:val="001C1277"/>
    <w:rsid w:val="001C319D"/>
    <w:rsid w:val="001C630D"/>
    <w:rsid w:val="001C6F84"/>
    <w:rsid w:val="001D5634"/>
    <w:rsid w:val="001D5C36"/>
    <w:rsid w:val="001F0A5D"/>
    <w:rsid w:val="00213089"/>
    <w:rsid w:val="0021470A"/>
    <w:rsid w:val="00214A53"/>
    <w:rsid w:val="0021687E"/>
    <w:rsid w:val="002337C4"/>
    <w:rsid w:val="00233A6F"/>
    <w:rsid w:val="00233FCF"/>
    <w:rsid w:val="00244AF4"/>
    <w:rsid w:val="00251341"/>
    <w:rsid w:val="002939AD"/>
    <w:rsid w:val="00295E74"/>
    <w:rsid w:val="002D05F3"/>
    <w:rsid w:val="002E5A5F"/>
    <w:rsid w:val="00314AF6"/>
    <w:rsid w:val="00324BB0"/>
    <w:rsid w:val="00337922"/>
    <w:rsid w:val="00340867"/>
    <w:rsid w:val="00356069"/>
    <w:rsid w:val="003577F4"/>
    <w:rsid w:val="00371F95"/>
    <w:rsid w:val="0037414E"/>
    <w:rsid w:val="00380837"/>
    <w:rsid w:val="003A198A"/>
    <w:rsid w:val="003C3037"/>
    <w:rsid w:val="00410914"/>
    <w:rsid w:val="00414403"/>
    <w:rsid w:val="00420C66"/>
    <w:rsid w:val="00425CF9"/>
    <w:rsid w:val="00473A5F"/>
    <w:rsid w:val="0048201E"/>
    <w:rsid w:val="004821FF"/>
    <w:rsid w:val="004B4A2F"/>
    <w:rsid w:val="004E7D1D"/>
    <w:rsid w:val="005142D7"/>
    <w:rsid w:val="00536930"/>
    <w:rsid w:val="00564E53"/>
    <w:rsid w:val="00574B55"/>
    <w:rsid w:val="00582698"/>
    <w:rsid w:val="00587697"/>
    <w:rsid w:val="00590AA0"/>
    <w:rsid w:val="005D5659"/>
    <w:rsid w:val="005F2ED9"/>
    <w:rsid w:val="00600C20"/>
    <w:rsid w:val="00636049"/>
    <w:rsid w:val="00640C19"/>
    <w:rsid w:val="00644FE2"/>
    <w:rsid w:val="00650BD2"/>
    <w:rsid w:val="00651CE7"/>
    <w:rsid w:val="006643C8"/>
    <w:rsid w:val="0067187A"/>
    <w:rsid w:val="0067640C"/>
    <w:rsid w:val="006A0667"/>
    <w:rsid w:val="006A43D9"/>
    <w:rsid w:val="006C066F"/>
    <w:rsid w:val="006D12C0"/>
    <w:rsid w:val="006E678B"/>
    <w:rsid w:val="006E7B1D"/>
    <w:rsid w:val="00706315"/>
    <w:rsid w:val="00714130"/>
    <w:rsid w:val="007611A9"/>
    <w:rsid w:val="00770296"/>
    <w:rsid w:val="007734B8"/>
    <w:rsid w:val="007757F3"/>
    <w:rsid w:val="007A0B28"/>
    <w:rsid w:val="007A1A3F"/>
    <w:rsid w:val="007B6015"/>
    <w:rsid w:val="007C1B48"/>
    <w:rsid w:val="007C777C"/>
    <w:rsid w:val="007D6F87"/>
    <w:rsid w:val="007E3B15"/>
    <w:rsid w:val="007E4E8E"/>
    <w:rsid w:val="007E6AEB"/>
    <w:rsid w:val="007F762E"/>
    <w:rsid w:val="008208CC"/>
    <w:rsid w:val="008276F3"/>
    <w:rsid w:val="00841B7F"/>
    <w:rsid w:val="00853476"/>
    <w:rsid w:val="00881711"/>
    <w:rsid w:val="008973EE"/>
    <w:rsid w:val="008A7F83"/>
    <w:rsid w:val="008B100F"/>
    <w:rsid w:val="008C67DE"/>
    <w:rsid w:val="008C7CCC"/>
    <w:rsid w:val="008D4396"/>
    <w:rsid w:val="008F321C"/>
    <w:rsid w:val="009078F4"/>
    <w:rsid w:val="0094773B"/>
    <w:rsid w:val="00952185"/>
    <w:rsid w:val="009661AC"/>
    <w:rsid w:val="00967319"/>
    <w:rsid w:val="00971600"/>
    <w:rsid w:val="0098582E"/>
    <w:rsid w:val="00993954"/>
    <w:rsid w:val="009973B4"/>
    <w:rsid w:val="009C1E95"/>
    <w:rsid w:val="009C28C1"/>
    <w:rsid w:val="009C4B86"/>
    <w:rsid w:val="009C5CFC"/>
    <w:rsid w:val="009D36A5"/>
    <w:rsid w:val="009E18EB"/>
    <w:rsid w:val="009F27C3"/>
    <w:rsid w:val="009F5D48"/>
    <w:rsid w:val="009F7EED"/>
    <w:rsid w:val="00A11CBB"/>
    <w:rsid w:val="00A13BE9"/>
    <w:rsid w:val="00A23762"/>
    <w:rsid w:val="00A3766A"/>
    <w:rsid w:val="00A566AC"/>
    <w:rsid w:val="00A80636"/>
    <w:rsid w:val="00A91DBC"/>
    <w:rsid w:val="00AE012F"/>
    <w:rsid w:val="00AE55A9"/>
    <w:rsid w:val="00AF0AAB"/>
    <w:rsid w:val="00B25172"/>
    <w:rsid w:val="00B45BFD"/>
    <w:rsid w:val="00B6682B"/>
    <w:rsid w:val="00B82722"/>
    <w:rsid w:val="00B90C69"/>
    <w:rsid w:val="00BA64E8"/>
    <w:rsid w:val="00BB3C13"/>
    <w:rsid w:val="00BD1D6B"/>
    <w:rsid w:val="00BF597E"/>
    <w:rsid w:val="00C030C5"/>
    <w:rsid w:val="00C219D3"/>
    <w:rsid w:val="00C31E56"/>
    <w:rsid w:val="00C51A36"/>
    <w:rsid w:val="00C55228"/>
    <w:rsid w:val="00C56FAC"/>
    <w:rsid w:val="00C63768"/>
    <w:rsid w:val="00C7758C"/>
    <w:rsid w:val="00C8029B"/>
    <w:rsid w:val="00C87EE3"/>
    <w:rsid w:val="00CB516D"/>
    <w:rsid w:val="00CC046A"/>
    <w:rsid w:val="00CD0363"/>
    <w:rsid w:val="00CD513B"/>
    <w:rsid w:val="00CE315A"/>
    <w:rsid w:val="00CE6542"/>
    <w:rsid w:val="00CF7967"/>
    <w:rsid w:val="00D06F59"/>
    <w:rsid w:val="00D2486E"/>
    <w:rsid w:val="00D319D8"/>
    <w:rsid w:val="00D33507"/>
    <w:rsid w:val="00D46239"/>
    <w:rsid w:val="00D4764B"/>
    <w:rsid w:val="00D65DFC"/>
    <w:rsid w:val="00D7795B"/>
    <w:rsid w:val="00D77DF6"/>
    <w:rsid w:val="00D8388C"/>
    <w:rsid w:val="00D8786D"/>
    <w:rsid w:val="00D936B4"/>
    <w:rsid w:val="00D95ECC"/>
    <w:rsid w:val="00D9635F"/>
    <w:rsid w:val="00DA7A9F"/>
    <w:rsid w:val="00DB239A"/>
    <w:rsid w:val="00DB7CF1"/>
    <w:rsid w:val="00DC29C2"/>
    <w:rsid w:val="00DD092F"/>
    <w:rsid w:val="00DE4A08"/>
    <w:rsid w:val="00E07947"/>
    <w:rsid w:val="00E3108C"/>
    <w:rsid w:val="00E35327"/>
    <w:rsid w:val="00E46FAD"/>
    <w:rsid w:val="00E6224C"/>
    <w:rsid w:val="00E918EE"/>
    <w:rsid w:val="00EB0164"/>
    <w:rsid w:val="00EB54C8"/>
    <w:rsid w:val="00ED0F62"/>
    <w:rsid w:val="00EE661C"/>
    <w:rsid w:val="00EF389A"/>
    <w:rsid w:val="00F14587"/>
    <w:rsid w:val="00F17FFE"/>
    <w:rsid w:val="00F228DA"/>
    <w:rsid w:val="00F6293A"/>
    <w:rsid w:val="00F65A67"/>
    <w:rsid w:val="00F77CC7"/>
    <w:rsid w:val="00FA3DDF"/>
    <w:rsid w:val="00FB191F"/>
    <w:rsid w:val="00FD48C5"/>
    <w:rsid w:val="00FD5195"/>
    <w:rsid w:val="00FE53C5"/>
    <w:rsid w:val="00FE53E7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825A0F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9701D1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951417"/>
    <w:rsid w:val="29CB46C2"/>
    <w:rsid w:val="29D16D9F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956345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BA4E11"/>
    <w:rsid w:val="31CA71DD"/>
    <w:rsid w:val="324E5138"/>
    <w:rsid w:val="331E21CE"/>
    <w:rsid w:val="33287296"/>
    <w:rsid w:val="33562A0D"/>
    <w:rsid w:val="33715F28"/>
    <w:rsid w:val="33F07155"/>
    <w:rsid w:val="340C6245"/>
    <w:rsid w:val="343A1A46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5B01D5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4058D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9D3EA2"/>
    <w:rsid w:val="40E27AF7"/>
    <w:rsid w:val="40F80D82"/>
    <w:rsid w:val="410B444D"/>
    <w:rsid w:val="41342A6B"/>
    <w:rsid w:val="413D4B3B"/>
    <w:rsid w:val="414C7183"/>
    <w:rsid w:val="418D501C"/>
    <w:rsid w:val="41E9167B"/>
    <w:rsid w:val="42416B50"/>
    <w:rsid w:val="4262379E"/>
    <w:rsid w:val="427A1188"/>
    <w:rsid w:val="42EB357F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1B245E8"/>
    <w:rsid w:val="521A5D1E"/>
    <w:rsid w:val="523624DE"/>
    <w:rsid w:val="52A23F56"/>
    <w:rsid w:val="52BA5471"/>
    <w:rsid w:val="52D871F4"/>
    <w:rsid w:val="52F263D6"/>
    <w:rsid w:val="53024EB7"/>
    <w:rsid w:val="53261795"/>
    <w:rsid w:val="535B01BE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456AB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1E314A"/>
    <w:rsid w:val="782C6CF7"/>
    <w:rsid w:val="7854235A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widowControl/>
      <w:spacing w:before="40" w:after="40"/>
      <w:jc w:val="left"/>
    </w:pPr>
    <w:rPr>
      <w:rFonts w:ascii="Arial" w:hAnsi="Arial" w:eastAsia="Times New Roman"/>
      <w:kern w:val="0"/>
      <w:sz w:val="18"/>
      <w:lang w:val="de-DE" w:eastAsia="de-DE"/>
    </w:rPr>
  </w:style>
  <w:style w:type="paragraph" w:styleId="15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1027</Words>
  <Characters>5860</Characters>
  <Lines>48</Lines>
  <Paragraphs>13</Paragraphs>
  <TotalTime>0</TotalTime>
  <ScaleCrop>false</ScaleCrop>
  <LinksUpToDate>false</LinksUpToDate>
  <CharactersWithSpaces>6874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2020-07-10T02:44:41Z</dcterms:modified>
  <cp:revision>616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