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质检部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刘朦朦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</w:rPr>
              <w:t xml:space="preserve"> 李青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Arial"/>
                <w:bCs/>
                <w:szCs w:val="21"/>
              </w:rPr>
              <w:t>6.1、6</w:t>
            </w:r>
            <w:r>
              <w:rPr>
                <w:rFonts w:cs="Arial"/>
                <w:bCs/>
                <w:szCs w:val="21"/>
              </w:rPr>
              <w:t>.2</w:t>
            </w:r>
            <w:r>
              <w:rPr>
                <w:rFonts w:hint="eastAsia" w:cs="Arial"/>
                <w:bCs/>
                <w:szCs w:val="21"/>
              </w:rPr>
              <w:t>、7.1.5、8.6、8.7、9.1</w:t>
            </w:r>
            <w:r>
              <w:rPr>
                <w:rFonts w:hint="eastAsia" w:cs="Arial"/>
                <w:bCs/>
                <w:szCs w:val="21"/>
                <w:lang w:val="en-US" w:eastAsia="zh-CN"/>
              </w:rPr>
              <w:t>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Q6.1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风险和机遇</w:t>
            </w:r>
            <w:r>
              <w:rPr>
                <w:rFonts w:hint="eastAsia"/>
              </w:rPr>
              <w:t>管制程序 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</w:t>
            </w: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规避风险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为寻求机遇承担风险、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分担风险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</w:t>
            </w:r>
          </w:p>
          <w:p>
            <w:pPr>
              <w:rPr>
                <w:rFonts w:eastAsia="MS Mincho"/>
                <w:lang w:eastAsia="ja-JP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drawing>
                <wp:inline distT="0" distB="0" distL="0" distR="0">
                  <wp:extent cx="5732780" cy="1121410"/>
                  <wp:effectExtent l="19050" t="0" r="127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78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MS Mincho"/>
                <w:lang w:eastAsia="ja-JP"/>
              </w:rPr>
            </w:pPr>
            <w:r>
              <w:drawing>
                <wp:inline distT="0" distB="0" distL="114300" distR="114300">
                  <wp:extent cx="5735955" cy="1863725"/>
                  <wp:effectExtent l="0" t="0" r="4445" b="31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5955" cy="186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MS Mincho"/>
                <w:lang w:eastAsia="ja-JP"/>
              </w:rPr>
            </w:pPr>
          </w:p>
        </w:tc>
        <w:tc>
          <w:tcPr>
            <w:tcW w:w="1585" w:type="dxa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《目标分解》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总质量目标实现情况的评价，及其测量方法是：</w:t>
            </w:r>
          </w:p>
          <w:tbl>
            <w:tblPr>
              <w:tblStyle w:val="6"/>
              <w:tblpPr w:leftFromText="180" w:rightFromText="180" w:vertAnchor="text" w:horzAnchor="page" w:tblpX="100" w:tblpY="149"/>
              <w:tblOverlap w:val="never"/>
              <w:tblW w:w="90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3"/>
              <w:gridCol w:w="3319"/>
              <w:gridCol w:w="4225"/>
              <w:gridCol w:w="9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627" w:hRule="atLeast"/>
              </w:trPr>
              <w:tc>
                <w:tcPr>
                  <w:tcW w:w="533" w:type="dxa"/>
                  <w:vMerge w:val="restart"/>
                  <w:vAlign w:val="center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质检部</w:t>
                  </w:r>
                </w:p>
              </w:tc>
              <w:tc>
                <w:tcPr>
                  <w:tcW w:w="3319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1.原材料验证率        100%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所有原、辅材料购进行均进行检验或验证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07" w:hRule="atLeast"/>
              </w:trPr>
              <w:tc>
                <w:tcPr>
                  <w:tcW w:w="53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3319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2.成品检测率          100%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所有成品均检验合格后方可包装入库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53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3319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3.检测设备校准率      100%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检测、计量设备已按计划进行校准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5" w:hRule="atLeast"/>
              </w:trPr>
              <w:tc>
                <w:tcPr>
                  <w:tcW w:w="53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3319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4.产品质量统计率      100%</w:t>
                  </w:r>
                </w:p>
              </w:tc>
              <w:tc>
                <w:tcPr>
                  <w:tcW w:w="422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每月均进行产品质量统计</w:t>
                  </w:r>
                </w:p>
              </w:tc>
              <w:tc>
                <w:tcPr>
                  <w:tcW w:w="96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达标</w:t>
                  </w:r>
                </w:p>
              </w:tc>
            </w:tr>
          </w:tbl>
          <w:p/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Q7.1.5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如：《监视和测量设备控制程序》、手册第7.1.5条款、《监视和测量设备控制程序》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计量器具未能及时进行校准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服务工作检查表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查看</w:t>
            </w:r>
            <w:r>
              <w:rPr>
                <w:rFonts w:hint="eastAsia"/>
                <w:u w:val="single"/>
              </w:rPr>
              <w:t>《监视和测量器具台账》</w:t>
            </w:r>
            <w:r>
              <w:rPr>
                <w:rFonts w:hint="eastAsia"/>
              </w:rPr>
              <w:t xml:space="preserve">，抽查外部检定或校准情况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r>
                    <w:rPr>
                      <w:rFonts w:hint="eastAsia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1739" w:type="dxa"/>
                </w:tcPr>
                <w:p/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质检部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1739" w:type="dxa"/>
                </w:tcPr>
                <w:p/>
              </w:tc>
              <w:tc>
                <w:tcPr>
                  <w:tcW w:w="292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车间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质检部</w:t>
                  </w:r>
                </w:p>
              </w:tc>
            </w:tr>
          </w:tbl>
          <w:p/>
          <w:p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/>
              </w:tc>
              <w:tc>
                <w:tcPr>
                  <w:tcW w:w="2248" w:type="dxa"/>
                </w:tcPr>
                <w:p/>
              </w:tc>
              <w:tc>
                <w:tcPr>
                  <w:tcW w:w="2626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/>
              </w:tc>
            </w:tr>
          </w:tbl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标准溶液控制：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Q8.6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如：管理手册8.6</w:t>
            </w:r>
            <w:r>
              <w:rPr>
                <w:rFonts w:hint="eastAsia"/>
                <w:lang w:eastAsia="zh-CN"/>
              </w:rPr>
              <w:t>，《产品放行控制程序》</w:t>
            </w:r>
          </w:p>
          <w:p>
            <w:r>
              <w:rPr>
                <w:rFonts w:hint="eastAsia"/>
              </w:rPr>
              <w:t>执行标准（接收准则）：参照技术协议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858"/>
              <w:gridCol w:w="3255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8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255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8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客户协议，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国家标准</w:t>
                  </w:r>
                </w:p>
                <w:p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（蔬菜类：GB2763,肉类：SB/T10779-2012/SB/T10773-2012/GB2707)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8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无半成品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858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客户协议，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国家标准</w:t>
                  </w:r>
                </w:p>
                <w:p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（蔬菜类：GB2763,肉类：SB/T10779-2012/SB/T10773-2012/GB2707)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8" w:type="dxa"/>
                </w:tcPr>
                <w:p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r>
                    <w:rPr>
                      <w:rFonts w:hint="eastAsia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放行包括：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服务放行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《原材料验收记录》和《</w:t>
            </w:r>
            <w:r>
              <w:rPr>
                <w:rFonts w:hint="eastAsia"/>
                <w:u w:val="single"/>
                <w:lang w:val="en-US" w:eastAsia="zh-CN"/>
              </w:rPr>
              <w:t>苏州市食用农产品统一快检报告单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4"/>
              <w:gridCol w:w="1588"/>
              <w:gridCol w:w="1059"/>
              <w:gridCol w:w="1866"/>
              <w:gridCol w:w="138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8" w:type="dxa"/>
                </w:tcPr>
                <w:p>
                  <w:r>
                    <w:rPr>
                      <w:rFonts w:hint="eastAsia"/>
                    </w:rPr>
                    <w:t>物料名称/批次</w:t>
                  </w:r>
                </w:p>
              </w:tc>
              <w:tc>
                <w:tcPr>
                  <w:tcW w:w="1059" w:type="dxa"/>
                </w:tcPr>
                <w:p>
                  <w:r>
                    <w:rPr>
                      <w:rFonts w:hint="eastAsia"/>
                    </w:rPr>
                    <w:t>供货单位</w:t>
                  </w:r>
                </w:p>
              </w:tc>
              <w:tc>
                <w:tcPr>
                  <w:tcW w:w="1866" w:type="dxa"/>
                </w:tcPr>
                <w:p>
                  <w:r>
                    <w:rPr>
                      <w:rFonts w:hint="eastAsia"/>
                      <w:szCs w:val="22"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380" w:type="dxa"/>
                </w:tcPr>
                <w:p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4" w:hRule="atLeast"/>
              </w:trPr>
              <w:tc>
                <w:tcPr>
                  <w:tcW w:w="110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20.</w:t>
                  </w:r>
                  <w:r>
                    <w:rPr>
                      <w:rFonts w:hint="eastAsia"/>
                      <w:lang w:val="en-US" w:eastAsia="zh-CN"/>
                    </w:rPr>
                    <w:t>6.19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生菜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吴中区横泾濮晓明蔬菜摊</w:t>
                  </w:r>
                </w:p>
              </w:tc>
              <w:tc>
                <w:tcPr>
                  <w:tcW w:w="1866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农残（有机磷和氨基甲酸酯类），数量，外观</w:t>
                  </w:r>
                </w:p>
              </w:tc>
              <w:tc>
                <w:tcPr>
                  <w:tcW w:w="1380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4" w:hRule="atLeast"/>
              </w:trPr>
              <w:tc>
                <w:tcPr>
                  <w:tcW w:w="110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2020.6.23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西兰花</w:t>
                  </w: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吴中区横泾濮晓明蔬菜摊</w:t>
                  </w:r>
                </w:p>
              </w:tc>
              <w:tc>
                <w:tcPr>
                  <w:tcW w:w="1866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农残（有机磷和氨基甲酸酯类），数量，外观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</w:tcPr>
                <w:p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20.</w:t>
                  </w:r>
                  <w:r>
                    <w:rPr>
                      <w:rFonts w:hint="eastAsia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</w:rPr>
                    <w:t>.3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精肉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山东龙大肉食品股份有限公司</w:t>
                  </w:r>
                </w:p>
              </w:tc>
              <w:tc>
                <w:tcPr>
                  <w:tcW w:w="1866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lang w:val="en-US" w:eastAsia="zh-CN"/>
                    </w:rPr>
                  </w:pPr>
                  <w:r>
                    <w:rPr>
                      <w:color w:val="000000" w:themeColor="text1"/>
                    </w:rPr>
                    <w:t>完好，无异味</w:t>
                  </w:r>
                  <w:r>
                    <w:rPr>
                      <w:rFonts w:hint="eastAsia"/>
                      <w:color w:val="000000" w:themeColor="text1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动物检疫合格证明，肉品品质检验合格证</w:t>
                  </w:r>
                </w:p>
              </w:tc>
              <w:tc>
                <w:tcPr>
                  <w:tcW w:w="1380" w:type="dxa"/>
                </w:tcPr>
                <w:p>
                  <w:r>
                    <w:rPr>
                      <w:rFonts w:hint="eastAsi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>
            <w:r>
              <w:rPr>
                <w:rFonts w:hint="eastAsia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/>
              </w:rPr>
              <w:t>不合格输出的控制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</w:rPr>
              <w:t xml:space="preserve">Q8.7 </w:t>
            </w:r>
          </w:p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ind w:right="640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《</w:t>
            </w: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/>
              </w:rPr>
              <w:t>不合格品和潜在不安全品控制程序》，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《纠正措施和预防措施控制程序》</w:t>
            </w:r>
          </w:p>
          <w:p/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无不符合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无不符合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抽取出厂后不合格成品处置相关记录：名称：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抽取出厂后不合格服务相关记录名称：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60" w:type="dxa"/>
            <w:vMerge w:val="restart"/>
          </w:tcPr>
          <w:p>
            <w:r>
              <w:t>监视、测量、分析和评价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Q9.1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3</w:t>
            </w:r>
          </w:p>
          <w:p/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pPr>
              <w:ind w:right="640"/>
              <w:rPr>
                <w:rFonts w:ascii="楷体_GB2312" w:eastAsia="楷体_GB2312"/>
                <w:b/>
                <w:bCs/>
                <w:sz w:val="32"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</w:t>
            </w: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楷体_GB2312" w:eastAsia="楷体_GB2312"/>
                <w:b/>
                <w:bCs/>
                <w:sz w:val="32"/>
              </w:rPr>
              <w:t xml:space="preserve"> </w:t>
            </w:r>
            <w:r>
              <w:rPr>
                <w:rFonts w:hint="eastAsia"/>
              </w:rPr>
              <w:t>《数据分析控制程序》</w:t>
            </w:r>
          </w:p>
          <w:p>
            <w:pPr>
              <w:ind w:right="640"/>
              <w:jc w:val="center"/>
              <w:rPr>
                <w:b w:val="0"/>
                <w:bCs w:val="0"/>
              </w:rPr>
            </w:pPr>
          </w:p>
          <w:p/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对获得的数据和信息进行监视和测量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651" w:type="dxa"/>
                </w:tcPr>
                <w:p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811" w:type="dxa"/>
                </w:tcPr>
                <w:p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r>
                    <w:rPr>
                      <w:rFonts w:hint="eastAsia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r>
                    <w:rPr>
                      <w:rFonts w:hint="eastAsia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产品和服务的符合性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01385"/>
    <w:rsid w:val="00004885"/>
    <w:rsid w:val="0001402C"/>
    <w:rsid w:val="000237F6"/>
    <w:rsid w:val="0003373A"/>
    <w:rsid w:val="000400E2"/>
    <w:rsid w:val="00062E46"/>
    <w:rsid w:val="0008429D"/>
    <w:rsid w:val="000B6D72"/>
    <w:rsid w:val="000B77D5"/>
    <w:rsid w:val="000C3452"/>
    <w:rsid w:val="000E3D2F"/>
    <w:rsid w:val="000E6B21"/>
    <w:rsid w:val="000F10A6"/>
    <w:rsid w:val="000F1364"/>
    <w:rsid w:val="001137B7"/>
    <w:rsid w:val="00150D56"/>
    <w:rsid w:val="0016429D"/>
    <w:rsid w:val="00177639"/>
    <w:rsid w:val="001A2D7F"/>
    <w:rsid w:val="001C044F"/>
    <w:rsid w:val="001F0B0B"/>
    <w:rsid w:val="001F2919"/>
    <w:rsid w:val="002131AA"/>
    <w:rsid w:val="0021671D"/>
    <w:rsid w:val="0026269A"/>
    <w:rsid w:val="00292C99"/>
    <w:rsid w:val="002939AD"/>
    <w:rsid w:val="002A18EF"/>
    <w:rsid w:val="002C1F6A"/>
    <w:rsid w:val="002E32EE"/>
    <w:rsid w:val="002E4A9F"/>
    <w:rsid w:val="00314AF6"/>
    <w:rsid w:val="00333651"/>
    <w:rsid w:val="00337922"/>
    <w:rsid w:val="00340867"/>
    <w:rsid w:val="00374238"/>
    <w:rsid w:val="00380837"/>
    <w:rsid w:val="0038426C"/>
    <w:rsid w:val="00387077"/>
    <w:rsid w:val="003A198A"/>
    <w:rsid w:val="00410914"/>
    <w:rsid w:val="00470CE9"/>
    <w:rsid w:val="004741A9"/>
    <w:rsid w:val="0048201E"/>
    <w:rsid w:val="004A3E46"/>
    <w:rsid w:val="004B0BC1"/>
    <w:rsid w:val="004C4DFB"/>
    <w:rsid w:val="004F5AC4"/>
    <w:rsid w:val="005101C4"/>
    <w:rsid w:val="00536930"/>
    <w:rsid w:val="00540EF8"/>
    <w:rsid w:val="00564E53"/>
    <w:rsid w:val="005D5659"/>
    <w:rsid w:val="005D6E36"/>
    <w:rsid w:val="005E1E96"/>
    <w:rsid w:val="00600C20"/>
    <w:rsid w:val="006364FE"/>
    <w:rsid w:val="00637E46"/>
    <w:rsid w:val="00644FE2"/>
    <w:rsid w:val="0065501B"/>
    <w:rsid w:val="0067640C"/>
    <w:rsid w:val="006863CA"/>
    <w:rsid w:val="0069212A"/>
    <w:rsid w:val="00692177"/>
    <w:rsid w:val="006E678B"/>
    <w:rsid w:val="006E7B1D"/>
    <w:rsid w:val="00761659"/>
    <w:rsid w:val="007656C2"/>
    <w:rsid w:val="00774F4C"/>
    <w:rsid w:val="007757F3"/>
    <w:rsid w:val="007A2B3B"/>
    <w:rsid w:val="007C1B48"/>
    <w:rsid w:val="007E3B15"/>
    <w:rsid w:val="007E6AEB"/>
    <w:rsid w:val="007F059D"/>
    <w:rsid w:val="00812AA0"/>
    <w:rsid w:val="0083646A"/>
    <w:rsid w:val="008973EE"/>
    <w:rsid w:val="008A16D7"/>
    <w:rsid w:val="008A5883"/>
    <w:rsid w:val="0090453E"/>
    <w:rsid w:val="0090483D"/>
    <w:rsid w:val="0092316C"/>
    <w:rsid w:val="00961742"/>
    <w:rsid w:val="00971600"/>
    <w:rsid w:val="009973B4"/>
    <w:rsid w:val="009A31D5"/>
    <w:rsid w:val="009C28C1"/>
    <w:rsid w:val="009F7EED"/>
    <w:rsid w:val="00A05F01"/>
    <w:rsid w:val="00A44107"/>
    <w:rsid w:val="00A552C5"/>
    <w:rsid w:val="00A80636"/>
    <w:rsid w:val="00A92EC6"/>
    <w:rsid w:val="00AA193A"/>
    <w:rsid w:val="00AA2D22"/>
    <w:rsid w:val="00AA376F"/>
    <w:rsid w:val="00AA4C3E"/>
    <w:rsid w:val="00AC5B5F"/>
    <w:rsid w:val="00AD410F"/>
    <w:rsid w:val="00AF0AAB"/>
    <w:rsid w:val="00B04D34"/>
    <w:rsid w:val="00B215D7"/>
    <w:rsid w:val="00B2369C"/>
    <w:rsid w:val="00B606ED"/>
    <w:rsid w:val="00BE72D9"/>
    <w:rsid w:val="00BF597E"/>
    <w:rsid w:val="00C064A2"/>
    <w:rsid w:val="00C51A36"/>
    <w:rsid w:val="00C55228"/>
    <w:rsid w:val="00C63768"/>
    <w:rsid w:val="00CB0189"/>
    <w:rsid w:val="00CC58F9"/>
    <w:rsid w:val="00CE315A"/>
    <w:rsid w:val="00CE4D10"/>
    <w:rsid w:val="00D06F59"/>
    <w:rsid w:val="00D14383"/>
    <w:rsid w:val="00D40165"/>
    <w:rsid w:val="00D44813"/>
    <w:rsid w:val="00D61EF0"/>
    <w:rsid w:val="00D73056"/>
    <w:rsid w:val="00D8388C"/>
    <w:rsid w:val="00DB0AEA"/>
    <w:rsid w:val="00DC3BE8"/>
    <w:rsid w:val="00DE4A06"/>
    <w:rsid w:val="00E12BB1"/>
    <w:rsid w:val="00E131D9"/>
    <w:rsid w:val="00E22417"/>
    <w:rsid w:val="00E43D6A"/>
    <w:rsid w:val="00E6224C"/>
    <w:rsid w:val="00E8157B"/>
    <w:rsid w:val="00EA684F"/>
    <w:rsid w:val="00EB0164"/>
    <w:rsid w:val="00EC0C55"/>
    <w:rsid w:val="00ED0F62"/>
    <w:rsid w:val="00F149B8"/>
    <w:rsid w:val="00F17EC9"/>
    <w:rsid w:val="00F2794C"/>
    <w:rsid w:val="00F35821"/>
    <w:rsid w:val="00F67B9F"/>
    <w:rsid w:val="00F74C6C"/>
    <w:rsid w:val="00FA6569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701A14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552754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460D08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E7186C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8B075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B87BBA"/>
    <w:rsid w:val="2BD60481"/>
    <w:rsid w:val="2BEA3FA7"/>
    <w:rsid w:val="2C2E44D4"/>
    <w:rsid w:val="2C7B6C71"/>
    <w:rsid w:val="2CD96F6F"/>
    <w:rsid w:val="2D357F0D"/>
    <w:rsid w:val="2D4E604F"/>
    <w:rsid w:val="2D5C2AB0"/>
    <w:rsid w:val="2D7A20E6"/>
    <w:rsid w:val="2DC57805"/>
    <w:rsid w:val="2DDF08DF"/>
    <w:rsid w:val="2DFF79D8"/>
    <w:rsid w:val="2E366BC4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3921A1"/>
    <w:rsid w:val="324E5138"/>
    <w:rsid w:val="33032CAE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AC3007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64E72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A0D81"/>
    <w:rsid w:val="552A2893"/>
    <w:rsid w:val="5553061A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196DA9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23D9C"/>
    <w:rsid w:val="6018182B"/>
    <w:rsid w:val="601E0F43"/>
    <w:rsid w:val="60596F8D"/>
    <w:rsid w:val="608075E1"/>
    <w:rsid w:val="61326FB1"/>
    <w:rsid w:val="61384C31"/>
    <w:rsid w:val="61E77A7E"/>
    <w:rsid w:val="61F93317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3B5DD0"/>
    <w:rsid w:val="6AB40496"/>
    <w:rsid w:val="6ABD1D5E"/>
    <w:rsid w:val="6AF33939"/>
    <w:rsid w:val="6B795D62"/>
    <w:rsid w:val="6BC747F5"/>
    <w:rsid w:val="6BD35CE4"/>
    <w:rsid w:val="6C0A63AD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935449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B6393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300A52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D8442-07FF-4393-B6B8-429343B1C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392</Words>
  <Characters>2237</Characters>
  <Lines>18</Lines>
  <Paragraphs>5</Paragraphs>
  <TotalTime>0</TotalTime>
  <ScaleCrop>false</ScaleCrop>
  <LinksUpToDate>false</LinksUpToDate>
  <CharactersWithSpaces>2624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2020-05-28T15:20:00Z</dcterms:created>
  <dc:creator>微软用户</dc:creator>
  <cp:lastModifiedBy>张磊</cp:lastModifiedBy>
  <dcterms:modified xsi:type="dcterms:W3CDTF">2020-07-10T02:41:24Z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