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管理体系审核记录表（远程审核）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物流部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</w:t>
            </w:r>
            <w:r>
              <w:rPr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刘朦朦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eastAsia="zh-CN"/>
              </w:rPr>
              <w:t>张磊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（现场）</w:t>
            </w:r>
            <w:r>
              <w:rPr>
                <w:color w:val="000000" w:themeColor="text1"/>
                <w:sz w:val="24"/>
                <w:szCs w:val="24"/>
              </w:rPr>
              <w:t xml:space="preserve"> 李青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远程）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审核日期： 2020年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pStyle w:val="13"/>
              <w:spacing w:after="0"/>
              <w:rPr>
                <w:rFonts w:eastAsia="宋体" w:cs="Arial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6.1</w:t>
            </w:r>
            <w:r>
              <w:rPr>
                <w:rFonts w:hint="eastAsia" w:eastAsia="宋体" w:cs="Arial"/>
                <w:sz w:val="22"/>
                <w:szCs w:val="22"/>
                <w:lang w:val="en-US" w:eastAsia="zh-CN"/>
              </w:rPr>
              <w:t>、6.2、7.1.3、7.1.4、8.1.1、8.5</w:t>
            </w:r>
            <w:r>
              <w:rPr>
                <w:rFonts w:eastAsia="宋体" w:cs="Arial"/>
                <w:sz w:val="22"/>
                <w:szCs w:val="22"/>
                <w:lang w:val="en-US" w:eastAsia="zh-CN"/>
              </w:rPr>
              <w:t>.2</w:t>
            </w:r>
            <w:r>
              <w:rPr>
                <w:rFonts w:hint="eastAsia" w:eastAsia="宋体" w:cs="Arial"/>
                <w:sz w:val="22"/>
                <w:szCs w:val="22"/>
                <w:lang w:val="en-US" w:eastAsia="zh-CN"/>
              </w:rPr>
              <w:t>、</w:t>
            </w:r>
            <w:r>
              <w:rPr>
                <w:rFonts w:eastAsia="宋体" w:cs="Arial"/>
                <w:sz w:val="22"/>
                <w:szCs w:val="22"/>
                <w:lang w:val="en-US" w:eastAsia="zh-CN"/>
              </w:rPr>
              <w:t>8.5.3</w:t>
            </w:r>
            <w:r>
              <w:rPr>
                <w:rFonts w:hint="eastAsia" w:eastAsia="宋体" w:cs="Arial"/>
                <w:sz w:val="22"/>
                <w:szCs w:val="22"/>
                <w:lang w:val="en-US" w:eastAsia="zh-CN"/>
              </w:rPr>
              <w:t>、</w:t>
            </w:r>
            <w:r>
              <w:rPr>
                <w:rFonts w:eastAsia="宋体" w:cs="Arial"/>
                <w:sz w:val="22"/>
                <w:szCs w:val="22"/>
                <w:lang w:val="en-US" w:eastAsia="zh-CN"/>
              </w:rPr>
              <w:t>8.</w:t>
            </w:r>
            <w:r>
              <w:rPr>
                <w:rFonts w:hint="eastAsia" w:eastAsia="宋体" w:cs="Arial"/>
                <w:sz w:val="22"/>
                <w:szCs w:val="22"/>
                <w:lang w:val="en-US" w:eastAsia="zh-CN"/>
              </w:rPr>
              <w:t>5.4、8.7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color w:val="00B050"/>
                <w:szCs w:val="21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应对风险和机遇的措施</w:t>
            </w:r>
          </w:p>
          <w:p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Q6.1 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管理手册第6.1条款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风险和机遇管制程序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分析风险的方法：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头脑风暴法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FMEA（潜在失效模式分析）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应对风险的措施类型包括：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规避风险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为寻求机遇承担风险、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消除风险源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改变风险的可能性和后果、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分担风险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通过信息充分的决策而保留风险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 xml:space="preserve">列举2~3项应对主要风险的描述：     </w:t>
            </w:r>
          </w:p>
          <w:p/>
          <w:p>
            <w:r>
              <w:drawing>
                <wp:inline distT="0" distB="0" distL="114300" distR="114300">
                  <wp:extent cx="5739130" cy="1866265"/>
                  <wp:effectExtent l="0" t="0" r="1270" b="63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9130" cy="186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《质量目标》、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《目标分解统计表》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r>
              <w:rPr>
                <w:rFonts w:hint="eastAsia"/>
              </w:rPr>
              <w:t>总质量目标实现情况的评价，及其测量方法是：</w:t>
            </w:r>
          </w:p>
          <w:p/>
          <w:p/>
          <w:tbl>
            <w:tblPr>
              <w:tblStyle w:val="5"/>
              <w:tblpPr w:leftFromText="180" w:rightFromText="180" w:vertAnchor="text" w:horzAnchor="margin" w:tblpX="95" w:tblpY="-89"/>
              <w:tblOverlap w:val="never"/>
              <w:tblW w:w="877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97"/>
              <w:gridCol w:w="3151"/>
              <w:gridCol w:w="3289"/>
              <w:gridCol w:w="11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95" w:hRule="atLeast"/>
              </w:trPr>
              <w:tc>
                <w:tcPr>
                  <w:tcW w:w="1197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物流部</w:t>
                  </w:r>
                </w:p>
                <w:p>
                  <w:pPr>
                    <w:jc w:val="center"/>
                    <w:rPr>
                      <w:sz w:val="32"/>
                    </w:rPr>
                  </w:pPr>
                  <w:r>
                    <w:rPr>
                      <w:rFonts w:hint="eastAsia"/>
                      <w:sz w:val="28"/>
                    </w:rPr>
                    <w:t>(仓库)</w:t>
                  </w:r>
                </w:p>
              </w:tc>
              <w:tc>
                <w:tcPr>
                  <w:tcW w:w="3151" w:type="dxa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设备完好率       98%以上</w:t>
                  </w:r>
                </w:p>
              </w:tc>
              <w:tc>
                <w:tcPr>
                  <w:tcW w:w="3289" w:type="dxa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设备完好100%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达标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89" w:hRule="atLeast"/>
              </w:trPr>
              <w:tc>
                <w:tcPr>
                  <w:tcW w:w="1197" w:type="dxa"/>
                  <w:vMerge w:val="continue"/>
                  <w:vAlign w:val="center"/>
                </w:tcPr>
                <w:p>
                  <w:pPr>
                    <w:jc w:val="center"/>
                    <w:rPr>
                      <w:sz w:val="32"/>
                    </w:rPr>
                  </w:pPr>
                </w:p>
              </w:tc>
              <w:tc>
                <w:tcPr>
                  <w:tcW w:w="3151" w:type="dxa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安全事故率：          0</w:t>
                  </w:r>
                </w:p>
              </w:tc>
              <w:tc>
                <w:tcPr>
                  <w:tcW w:w="3289" w:type="dxa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安全无事故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达标</w:t>
                  </w: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基础设施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Q7.1.3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手册第7.1条款</w:t>
            </w:r>
          </w:p>
          <w:p/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基础设施包括：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szCs w:val="21"/>
              </w:rPr>
              <w:t xml:space="preserve">办公楼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车间厂房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库房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运输车辆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特种设备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动力设施</w:t>
            </w:r>
          </w:p>
          <w:p>
            <w:pPr>
              <w:ind w:firstLine="1680" w:firstLineChars="8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试验设备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辅助设施  </w:t>
            </w:r>
          </w:p>
          <w:p>
            <w:pPr>
              <w:rPr>
                <w:color w:val="FF0000"/>
              </w:rPr>
            </w:pPr>
          </w:p>
          <w:p>
            <w:r>
              <w:rPr>
                <w:rFonts w:hint="eastAsia"/>
              </w:rPr>
              <w:t>查看对设备维保的控制</w:t>
            </w:r>
          </w:p>
          <w:tbl>
            <w:tblPr>
              <w:tblStyle w:val="6"/>
              <w:tblW w:w="907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79"/>
              <w:gridCol w:w="1738"/>
              <w:gridCol w:w="1064"/>
              <w:gridCol w:w="1236"/>
              <w:gridCol w:w="33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79" w:type="dxa"/>
                </w:tcPr>
                <w:p>
                  <w:r>
                    <w:rPr>
                      <w:rFonts w:hint="eastAsia"/>
                    </w:rPr>
                    <w:t>《2020年设备维护保养计划》</w:t>
                  </w:r>
                </w:p>
              </w:tc>
              <w:tc>
                <w:tcPr>
                  <w:tcW w:w="1738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064" w:type="dxa"/>
                </w:tcPr>
                <w:p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236" w:type="dxa"/>
                </w:tcPr>
                <w:p>
                  <w:r>
                    <w:rPr>
                      <w:rFonts w:hint="eastAsia"/>
                    </w:rPr>
                    <w:t>维保周期</w:t>
                  </w:r>
                </w:p>
              </w:tc>
              <w:tc>
                <w:tcPr>
                  <w:tcW w:w="3362" w:type="dxa"/>
                </w:tcPr>
                <w:p>
                  <w:r>
                    <w:rPr>
                      <w:rFonts w:hint="eastAsia"/>
                    </w:rPr>
                    <w:t>维保内容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0" w:hRule="atLeast"/>
              </w:trPr>
              <w:tc>
                <w:tcPr>
                  <w:tcW w:w="1679" w:type="dxa"/>
                </w:tcPr>
                <w:p>
                  <w:pPr>
                    <w:jc w:val="left"/>
                  </w:pPr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738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</w:rPr>
                    <w:t>运输车辆</w:t>
                  </w:r>
                </w:p>
              </w:tc>
              <w:tc>
                <w:tcPr>
                  <w:tcW w:w="1064" w:type="dxa"/>
                </w:tcPr>
                <w:p>
                  <w:pPr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2020.</w:t>
                  </w:r>
                  <w:r>
                    <w:rPr>
                      <w:rFonts w:hint="eastAsia"/>
                      <w:lang w:val="en-US" w:eastAsia="zh-CN"/>
                    </w:rPr>
                    <w:t>6.30</w:t>
                  </w:r>
                </w:p>
              </w:tc>
              <w:tc>
                <w:tcPr>
                  <w:tcW w:w="1236" w:type="dxa"/>
                </w:tcPr>
                <w:p>
                  <w:pPr>
                    <w:jc w:val="left"/>
                    <w:rPr>
                      <w:rFonts w:hint="default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每行驶1000公里后</w:t>
                  </w:r>
                </w:p>
              </w:tc>
              <w:tc>
                <w:tcPr>
                  <w:tcW w:w="3362" w:type="dxa"/>
                </w:tcPr>
                <w:p>
                  <w:pPr>
                    <w:jc w:val="left"/>
                  </w:pPr>
                  <w:r>
                    <w:rPr>
                      <w:rFonts w:hint="eastAsia"/>
                    </w:rPr>
                    <w:t>食品接触品面卫生，驾驶人员健康状况良好，车辆无混装现象，车辆无污染物</w:t>
                  </w:r>
                </w:p>
              </w:tc>
            </w:tr>
          </w:tbl>
          <w:p/>
          <w:p>
            <w:pPr>
              <w:rPr>
                <w:color w:val="FF0000"/>
              </w:rPr>
            </w:pPr>
          </w:p>
          <w:p>
            <w:r>
              <w:rPr>
                <w:rFonts w:hint="eastAsia"/>
              </w:rPr>
              <w:t>设备完好情况</w:t>
            </w:r>
          </w:p>
          <w:p>
            <w:r>
              <w:rPr>
                <w:rFonts w:hint="eastAsia"/>
              </w:rPr>
              <w:t>是否发生设备故障引起停产：</w:t>
            </w:r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 w:ascii="Calibri" w:hAnsi="Calibri"/>
              </w:rPr>
              <w:t>□</w:t>
            </w:r>
            <w:r>
              <w:rPr>
                <w:rFonts w:hint="eastAsia"/>
              </w:rPr>
              <w:t>已发生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</w:rPr>
              <w:t>特种设备控制</w:t>
            </w:r>
          </w:p>
          <w:p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叉车  行车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不适用  </w:t>
            </w:r>
          </w:p>
          <w:p/>
          <w:tbl>
            <w:tblPr>
              <w:tblStyle w:val="6"/>
              <w:tblW w:w="718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3"/>
              <w:gridCol w:w="1811"/>
              <w:gridCol w:w="1389"/>
              <w:gridCol w:w="1200"/>
              <w:gridCol w:w="16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1811" w:type="dxa"/>
                </w:tcPr>
                <w:p>
                  <w:r>
                    <w:rPr>
                      <w:rFonts w:hint="eastAsia"/>
                    </w:rPr>
                    <w:t>抽查记录的月份</w:t>
                  </w:r>
                </w:p>
              </w:tc>
              <w:tc>
                <w:tcPr>
                  <w:tcW w:w="1389" w:type="dxa"/>
                </w:tcPr>
                <w:p>
                  <w:r>
                    <w:rPr>
                      <w:rFonts w:hint="eastAsia"/>
                    </w:rPr>
                    <w:t>现场查看</w:t>
                  </w:r>
                </w:p>
              </w:tc>
              <w:tc>
                <w:tcPr>
                  <w:tcW w:w="1200" w:type="dxa"/>
                </w:tcPr>
                <w:p>
                  <w:r>
                    <w:rPr>
                      <w:rFonts w:hint="eastAsia"/>
                    </w:rPr>
                    <w:t>记录情况</w:t>
                  </w:r>
                </w:p>
              </w:tc>
              <w:tc>
                <w:tcPr>
                  <w:tcW w:w="1660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  <w:szCs w:val="22"/>
                    </w:rPr>
                    <w:t>运输车辆</w:t>
                  </w:r>
                </w:p>
              </w:tc>
              <w:tc>
                <w:tcPr>
                  <w:tcW w:w="181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2020年</w:t>
                  </w:r>
                  <w:r>
                    <w:rPr>
                      <w:rFonts w:hint="eastAsia"/>
                      <w:lang w:val="en-US" w:eastAsia="zh-CN"/>
                    </w:rPr>
                    <w:t>6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18号</w:t>
                  </w:r>
                </w:p>
              </w:tc>
              <w:tc>
                <w:tcPr>
                  <w:tcW w:w="1389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良好</w:t>
                  </w:r>
                </w:p>
              </w:tc>
              <w:tc>
                <w:tcPr>
                  <w:tcW w:w="1200" w:type="dxa"/>
                </w:tcPr>
                <w:p>
                  <w:r>
                    <w:rPr>
                      <w:rFonts w:hint="eastAsia"/>
                    </w:rPr>
                    <w:t>无异常</w:t>
                  </w:r>
                </w:p>
              </w:tc>
              <w:tc>
                <w:tcPr>
                  <w:tcW w:w="1660" w:type="dxa"/>
                </w:tcPr>
                <w:p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  <w:sz w:val="20"/>
                    </w:rPr>
                    <w:t>运输车辆</w:t>
                  </w:r>
                </w:p>
              </w:tc>
              <w:tc>
                <w:tcPr>
                  <w:tcW w:w="181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2020年5月</w:t>
                  </w:r>
                  <w:r>
                    <w:rPr>
                      <w:rFonts w:hint="eastAsia"/>
                      <w:lang w:val="en-US" w:eastAsia="zh-CN"/>
                    </w:rPr>
                    <w:t>25号</w:t>
                  </w:r>
                </w:p>
              </w:tc>
              <w:tc>
                <w:tcPr>
                  <w:tcW w:w="1389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良好</w:t>
                  </w:r>
                </w:p>
              </w:tc>
              <w:tc>
                <w:tcPr>
                  <w:tcW w:w="1200" w:type="dxa"/>
                </w:tcPr>
                <w:p>
                  <w:r>
                    <w:rPr>
                      <w:rFonts w:hint="eastAsia"/>
                    </w:rPr>
                    <w:t>无异常</w:t>
                  </w:r>
                </w:p>
              </w:tc>
              <w:tc>
                <w:tcPr>
                  <w:tcW w:w="1660" w:type="dxa"/>
                </w:tcPr>
                <w:p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</w:tr>
          </w:tbl>
          <w:p/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过程运行环境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Q7.1.4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手册第7.1.4条款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组织确定、提供并维护所需的环境，以运行过程，并获得合格产品和服务。 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3840"/>
              <w:gridCol w:w="30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过程运行环境因素</w:t>
                  </w:r>
                </w:p>
              </w:tc>
              <w:tc>
                <w:tcPr>
                  <w:tcW w:w="3840" w:type="dxa"/>
                </w:tcPr>
                <w:p/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控制方法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非歧视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安定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不定期组织团建活动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减压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预防过度疲劳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定期休息，发放员工福利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温度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湿度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照明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空气流通  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卫生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提供舒适的办公场所</w:t>
                  </w:r>
                </w:p>
              </w:tc>
            </w:tr>
          </w:tbl>
          <w:p>
            <w:r>
              <w:rPr>
                <w:rFonts w:hint="eastAsia"/>
              </w:rPr>
              <w:t xml:space="preserve"> 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运行的策划和控制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配送过程组织控制程序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配备专业驾驶员，严格遵守交通运输规则，定期对人员进行培训。人员驾驶证详见Q：7.2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配备冷链车，普通运输车辆，车辆定期保养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每天对车辆进行消毒，查看：5月24号，苏E.A056，84消毒液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查冷链车《配送稳定记录表》，记录有出发点温度，三个站点的温度，均符合冷藏车温度要求。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标识和可追溯性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Q8.5.2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color w:val="auto"/>
                <w:lang w:val="en-US" w:eastAsia="zh-CN"/>
              </w:rPr>
              <w:t>如：手册Q8.5.2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产品的检验状态标识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eastAsia="zh-CN"/>
              </w:rPr>
              <w:t>待检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eastAsia="zh-CN"/>
              </w:rPr>
              <w:t>待下结论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eastAsia="zh-CN"/>
              </w:rPr>
              <w:t>合格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eastAsia="zh-CN"/>
              </w:rPr>
              <w:t>不合格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原材料</w:t>
            </w:r>
            <w:r>
              <w:rPr>
                <w:rFonts w:hint="eastAsia"/>
                <w:color w:val="auto"/>
                <w:lang w:eastAsia="zh-CN"/>
              </w:rPr>
              <w:t>的唯一性标识</w:t>
            </w:r>
            <w:r>
              <w:rPr>
                <w:rFonts w:hint="eastAsia"/>
                <w:color w:val="auto"/>
                <w:lang w:val="en-US" w:eastAsia="zh-CN"/>
              </w:rPr>
              <w:t>方式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容器</w:t>
            </w:r>
            <w:r>
              <w:rPr>
                <w:rFonts w:hint="eastAsia"/>
                <w:color w:val="auto"/>
                <w:lang w:eastAsia="zh-CN"/>
              </w:rPr>
              <w:t>编号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标牌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标签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区域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周装箱的颜色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批</w:t>
            </w:r>
            <w:r>
              <w:rPr>
                <w:rFonts w:hint="eastAsia"/>
                <w:color w:val="auto"/>
                <w:lang w:eastAsia="zh-CN"/>
              </w:rPr>
              <w:t>号</w:t>
            </w:r>
            <w:r>
              <w:rPr>
                <w:rFonts w:hint="eastAsia"/>
                <w:color w:val="auto"/>
                <w:lang w:val="en-US" w:eastAsia="zh-CN"/>
              </w:rPr>
              <w:t xml:space="preserve">打码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eastAsia="zh-CN"/>
              </w:rPr>
              <w:t>条形码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eastAsia="zh-CN"/>
              </w:rPr>
              <w:t>二维码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其他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半成品</w:t>
            </w:r>
            <w:r>
              <w:rPr>
                <w:rFonts w:hint="eastAsia"/>
                <w:color w:val="auto"/>
                <w:lang w:eastAsia="zh-CN"/>
              </w:rPr>
              <w:t>的唯一性标识</w:t>
            </w:r>
            <w:r>
              <w:rPr>
                <w:rFonts w:hint="eastAsia"/>
                <w:color w:val="auto"/>
                <w:lang w:val="en-US" w:eastAsia="zh-CN"/>
              </w:rPr>
              <w:t>方式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容器</w:t>
            </w:r>
            <w:r>
              <w:rPr>
                <w:rFonts w:hint="eastAsia"/>
                <w:color w:val="auto"/>
                <w:lang w:eastAsia="zh-CN"/>
              </w:rPr>
              <w:t>编号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标牌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标签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区域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周装箱的颜色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批</w:t>
            </w:r>
            <w:r>
              <w:rPr>
                <w:rFonts w:hint="eastAsia"/>
                <w:color w:val="auto"/>
                <w:lang w:eastAsia="zh-CN"/>
              </w:rPr>
              <w:t>号</w:t>
            </w:r>
            <w:r>
              <w:rPr>
                <w:rFonts w:hint="eastAsia"/>
                <w:color w:val="auto"/>
                <w:lang w:val="en-US" w:eastAsia="zh-CN"/>
              </w:rPr>
              <w:t xml:space="preserve">打码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eastAsia="zh-CN"/>
              </w:rPr>
              <w:t>条形码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eastAsia="zh-CN"/>
              </w:rPr>
              <w:t>二维码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其他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成品</w:t>
            </w:r>
            <w:r>
              <w:rPr>
                <w:rFonts w:hint="eastAsia"/>
                <w:color w:val="auto"/>
                <w:lang w:eastAsia="zh-CN"/>
              </w:rPr>
              <w:t>的唯一性标识</w:t>
            </w:r>
            <w:r>
              <w:rPr>
                <w:rFonts w:hint="eastAsia"/>
                <w:color w:val="auto"/>
                <w:lang w:val="en-US" w:eastAsia="zh-CN"/>
              </w:rPr>
              <w:t>方式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容器</w:t>
            </w:r>
            <w:r>
              <w:rPr>
                <w:rFonts w:hint="eastAsia"/>
                <w:color w:val="auto"/>
                <w:lang w:eastAsia="zh-CN"/>
              </w:rPr>
              <w:t>编号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标牌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标签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区域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周装箱的颜色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批</w:t>
            </w:r>
            <w:r>
              <w:rPr>
                <w:rFonts w:hint="eastAsia"/>
                <w:color w:val="auto"/>
                <w:lang w:eastAsia="zh-CN"/>
              </w:rPr>
              <w:t>号</w:t>
            </w:r>
            <w:r>
              <w:rPr>
                <w:rFonts w:hint="eastAsia"/>
                <w:color w:val="auto"/>
                <w:lang w:val="en-US" w:eastAsia="zh-CN"/>
              </w:rPr>
              <w:t xml:space="preserve">打码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eastAsia="zh-CN"/>
              </w:rPr>
              <w:t>条形码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eastAsia="zh-CN"/>
              </w:rPr>
              <w:t>二维码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其他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追溯</w:t>
            </w:r>
            <w:r>
              <w:rPr>
                <w:rFonts w:hint="eastAsia"/>
                <w:color w:val="auto"/>
                <w:lang w:val="en-US" w:eastAsia="zh-CN"/>
              </w:rPr>
              <w:t>原因：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演练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质量事故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顾客投诉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市场抽查不合格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 无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0"/>
              <w:gridCol w:w="2557"/>
              <w:gridCol w:w="1228"/>
              <w:gridCol w:w="1145"/>
              <w:gridCol w:w="1264"/>
              <w:gridCol w:w="1145"/>
              <w:gridCol w:w="9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0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产品批号</w:t>
                  </w:r>
                </w:p>
              </w:tc>
              <w:tc>
                <w:tcPr>
                  <w:tcW w:w="2557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不合格简述</w:t>
                  </w:r>
                </w:p>
              </w:tc>
              <w:tc>
                <w:tcPr>
                  <w:tcW w:w="122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auto"/>
                      <w:lang w:val="en-US" w:eastAsia="zh-CN"/>
                    </w:rPr>
                    <w:t>生产记录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114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auto"/>
                      <w:lang w:val="en-US" w:eastAsia="zh-CN"/>
                    </w:rPr>
                    <w:t>检验记录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1264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lang w:val="en-US" w:eastAsia="zh-CN"/>
                    </w:rPr>
                    <w:t>采购记录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lang w:val="en-US" w:eastAsia="zh-CN"/>
                    </w:rPr>
                    <w:t>产品留样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确认</w:t>
                  </w:r>
                </w:p>
              </w:tc>
              <w:tc>
                <w:tcPr>
                  <w:tcW w:w="984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lang w:val="en-US" w:eastAsia="zh-CN"/>
                    </w:rPr>
                    <w:t>销售记录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20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57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1228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64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84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0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57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28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64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84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0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57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28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64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45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84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产品留样（适用时）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抽查产品留样记录：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批号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保存状态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精肉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  <w:t>2020.03.03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  <w:t>2020.03.03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三天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冷藏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精肉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  <w:t>2020.04.07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  <w:t>2020.04.07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三天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冷藏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  <w:t>精肉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  <w:t>2020.05.31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  <w:t>2020.05.31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三天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冷藏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60" w:type="dxa"/>
            <w:vMerge w:val="continue"/>
          </w:tcPr>
          <w:p>
            <w:pPr>
              <w:rPr>
                <w:color w:val="FF0000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FF0000"/>
              </w:rPr>
            </w:pPr>
          </w:p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  <w:p/>
          <w:p/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在生产或服务场所对原材料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在生产或服务场所对半成品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在生产或服务场所对成品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 xml:space="preserve">标识情况：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在原材料库房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在半成品库房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标识情况：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在成品库房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 xml:space="preserve">标识情况：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区分清楚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防护得当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不适宜说明：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顾客或外部供方的财产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 8.5.3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质量手册Q8.5.3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顾客或外部供方的财产种类：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原材料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零部件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顾客的场所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知识产权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个人信息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1817"/>
              <w:gridCol w:w="1082"/>
              <w:gridCol w:w="1554"/>
              <w:gridCol w:w="15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1082" w:type="dxa"/>
                </w:tcPr>
                <w:p>
                  <w:r>
                    <w:rPr>
                      <w:rFonts w:hint="eastAsia"/>
                    </w:rPr>
                    <w:t>验证日期</w:t>
                  </w:r>
                </w:p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t>标识明确清楚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817" w:type="dxa"/>
                </w:tcPr>
                <w:p>
                  <w:r>
                    <w:t>江苏市长泾彩印有限公司</w:t>
                  </w:r>
                </w:p>
              </w:tc>
              <w:tc>
                <w:tcPr>
                  <w:tcW w:w="108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/>
                    </w:rPr>
                    <w:t>苏州市吴中区东湖小学</w:t>
                  </w:r>
                </w:p>
              </w:tc>
              <w:tc>
                <w:tcPr>
                  <w:tcW w:w="108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/>
          <w:p>
            <w:r>
              <w:rPr>
                <w:rFonts w:hint="eastAsia"/>
              </w:rPr>
              <w:t xml:space="preserve">异常情况处理：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已发生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r>
                    <w:rPr>
                      <w:rFonts w:hint="eastAsia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在生产或服务场所对顾客或外部供方财产的标识和防护情况：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防护得当</w:t>
            </w:r>
          </w:p>
          <w:p>
            <w:r>
              <w:rPr>
                <w:rFonts w:hint="eastAsia"/>
              </w:rPr>
              <w:t xml:space="preserve">对企业或个人信息是否有保密措施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有保密措施（如承诺）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措施不足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在原材料库房对顾客或外部供方财产的标识和防护情况：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防护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Q8.5.4</w:t>
            </w:r>
          </w:p>
        </w:tc>
        <w:tc>
          <w:tcPr>
            <w:tcW w:w="745" w:type="dxa"/>
            <w:vAlign w:val="top"/>
          </w:tcPr>
          <w:p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color w:val="auto"/>
                <w:lang w:val="en-US" w:eastAsia="zh-CN"/>
              </w:rPr>
              <w:t>如：</w:t>
            </w:r>
            <w:r>
              <w:rPr>
                <w:rFonts w:hint="eastAsia" w:ascii="宋体" w:hAnsi="宋体" w:cs="Arial"/>
                <w:color w:val="auto"/>
                <w:sz w:val="24"/>
              </w:rPr>
              <w:t>《搬运、储存、包装、防护和交付程序》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产品防护性要求：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防磕碰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防火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易碎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防倒置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防雨淋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防日晒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码放高度  </w:t>
            </w:r>
          </w:p>
          <w:p>
            <w:pPr>
              <w:ind w:firstLine="1680" w:firstLineChars="8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温度 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湿度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清洁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卫生  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保存期限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其他</w:t>
            </w:r>
          </w:p>
          <w:p>
            <w:pPr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防护</w:t>
            </w:r>
            <w:r>
              <w:rPr>
                <w:rFonts w:hint="eastAsia"/>
                <w:color w:val="auto"/>
                <w:lang w:val="en-US" w:eastAsia="zh-CN"/>
              </w:rPr>
              <w:t>方法</w:t>
            </w:r>
            <w:r>
              <w:rPr>
                <w:rFonts w:hint="eastAsia"/>
                <w:color w:val="auto"/>
              </w:rPr>
              <w:t>可包括</w:t>
            </w:r>
            <w:r>
              <w:rPr>
                <w:rFonts w:hint="eastAsia"/>
                <w:color w:val="auto"/>
                <w:lang w:eastAsia="zh-CN"/>
              </w:rPr>
              <w:t>：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防护性标识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处置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污染控制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包装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储存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传输或运输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保护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r>
              <w:rPr>
                <w:rFonts w:hint="eastAsia"/>
                <w:color w:val="auto"/>
                <w:lang w:val="en-US" w:eastAsia="zh-CN"/>
              </w:rPr>
              <w:t>现场观察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原材料</w:t>
            </w:r>
            <w:r>
              <w:rPr>
                <w:rFonts w:hint="eastAsia"/>
              </w:rPr>
              <w:t>库房管理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抽查原材料名称：西兰花       </w:t>
            </w:r>
          </w:p>
          <w:p>
            <w:pPr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码放高度/层数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lang w:val="en-US" w:eastAsia="zh-CN"/>
              </w:rPr>
              <w:t xml:space="preserve">20℃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lang w:val="en-US" w:eastAsia="zh-CN"/>
              </w:rPr>
              <w:t xml:space="preserve">     %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lang w:val="en-US" w:eastAsia="zh-CN"/>
              </w:rPr>
              <w:t xml:space="preserve">   月</w:t>
            </w:r>
            <w:r>
              <w:rPr>
                <w:rFonts w:hint="eastAsia"/>
                <w:b/>
                <w:bCs/>
                <w:lang w:val="en-US" w:eastAsia="zh-CN"/>
              </w:rPr>
              <w:t>（不储存，及买即送）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账物卡相符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防护措施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半成品</w:t>
            </w:r>
            <w:r>
              <w:rPr>
                <w:rFonts w:hint="eastAsia"/>
              </w:rPr>
              <w:t>库房管理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抽查半成品名称：    不适用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码放高度/层数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lang w:val="en-US" w:eastAsia="zh-CN"/>
              </w:rPr>
              <w:t xml:space="preserve">   ℃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lang w:val="en-US" w:eastAsia="zh-CN"/>
              </w:rPr>
              <w:t xml:space="preserve">   %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lang w:val="en-US" w:eastAsia="zh-CN"/>
              </w:rPr>
              <w:t xml:space="preserve">   月（有保存期时）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账物卡相符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防护措施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成品</w:t>
            </w:r>
            <w:r>
              <w:rPr>
                <w:rFonts w:hint="eastAsia"/>
              </w:rPr>
              <w:t>库房管理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抽查成品名称：      </w:t>
            </w:r>
            <w:r>
              <w:rPr>
                <w:rFonts w:hint="eastAsia"/>
                <w:u w:val="single"/>
                <w:lang w:val="en-US" w:eastAsia="zh-CN"/>
              </w:rPr>
              <w:t xml:space="preserve">鲜肉 </w:t>
            </w:r>
            <w:r>
              <w:rPr>
                <w:rFonts w:hint="eastAsia"/>
                <w:lang w:val="en-US" w:eastAsia="zh-CN"/>
              </w:rPr>
              <w:t xml:space="preserve">   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码放高度/层数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lang w:val="en-US" w:eastAsia="zh-CN"/>
              </w:rPr>
              <w:t xml:space="preserve"> 0-5℃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lang w:val="en-US" w:eastAsia="zh-CN"/>
              </w:rPr>
              <w:t xml:space="preserve">   %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lang w:val="en-US" w:eastAsia="zh-CN"/>
              </w:rPr>
              <w:t>3天（有保存期时）</w:t>
            </w:r>
          </w:p>
          <w:p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账物卡相符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防护措施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不合格输出的控制</w:t>
            </w:r>
          </w:p>
          <w:p/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Q8.7 </w:t>
            </w:r>
          </w:p>
          <w:p/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ind w:right="640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质量手册Q8.7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《不合格与潜在不合格控制程序》</w:t>
            </w:r>
          </w:p>
          <w:p/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合格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b/>
                <w:bCs/>
                <w:u w:val="single"/>
              </w:rPr>
              <w:t>未发现不合格原料</w:t>
            </w:r>
          </w:p>
          <w:p/>
          <w:p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>未发现不合格半成品</w:t>
            </w:r>
          </w:p>
          <w:p/>
          <w:p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>未发现不合格成品</w:t>
            </w:r>
          </w:p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现场检查对不合格原材料的存放和标识情况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现场检查对不合格半成品的存放和标识情况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现场检查对不合格成品的存放和标识情况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不符合          </w:t>
            </w:r>
          </w:p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253BB"/>
    <w:rsid w:val="0003373A"/>
    <w:rsid w:val="000341D5"/>
    <w:rsid w:val="00035060"/>
    <w:rsid w:val="000400E2"/>
    <w:rsid w:val="0004741D"/>
    <w:rsid w:val="00062E46"/>
    <w:rsid w:val="000841F4"/>
    <w:rsid w:val="000C71A8"/>
    <w:rsid w:val="000D79EE"/>
    <w:rsid w:val="000E0280"/>
    <w:rsid w:val="000E6B21"/>
    <w:rsid w:val="0010341D"/>
    <w:rsid w:val="00186968"/>
    <w:rsid w:val="00187F8A"/>
    <w:rsid w:val="001A2D7F"/>
    <w:rsid w:val="001B5075"/>
    <w:rsid w:val="001D0EF4"/>
    <w:rsid w:val="001F2999"/>
    <w:rsid w:val="00260040"/>
    <w:rsid w:val="002732C2"/>
    <w:rsid w:val="002939AD"/>
    <w:rsid w:val="002B1C00"/>
    <w:rsid w:val="00314AF6"/>
    <w:rsid w:val="0033573C"/>
    <w:rsid w:val="00337922"/>
    <w:rsid w:val="00340867"/>
    <w:rsid w:val="00361C0D"/>
    <w:rsid w:val="00380837"/>
    <w:rsid w:val="003909BA"/>
    <w:rsid w:val="003A198A"/>
    <w:rsid w:val="003D0D6F"/>
    <w:rsid w:val="003D6103"/>
    <w:rsid w:val="00410914"/>
    <w:rsid w:val="00473949"/>
    <w:rsid w:val="0048201E"/>
    <w:rsid w:val="00485316"/>
    <w:rsid w:val="004A7EC8"/>
    <w:rsid w:val="00500FBD"/>
    <w:rsid w:val="00536930"/>
    <w:rsid w:val="00562EEE"/>
    <w:rsid w:val="00564E53"/>
    <w:rsid w:val="00567F02"/>
    <w:rsid w:val="00571748"/>
    <w:rsid w:val="00577A1D"/>
    <w:rsid w:val="005A446E"/>
    <w:rsid w:val="005A5F6B"/>
    <w:rsid w:val="005A7580"/>
    <w:rsid w:val="005D3EC5"/>
    <w:rsid w:val="005D5659"/>
    <w:rsid w:val="005E21F5"/>
    <w:rsid w:val="00600C20"/>
    <w:rsid w:val="00626AC7"/>
    <w:rsid w:val="00644FE2"/>
    <w:rsid w:val="00652207"/>
    <w:rsid w:val="0067640C"/>
    <w:rsid w:val="006B435A"/>
    <w:rsid w:val="006C5E88"/>
    <w:rsid w:val="006E678B"/>
    <w:rsid w:val="006E7B1D"/>
    <w:rsid w:val="006F3BED"/>
    <w:rsid w:val="00706E62"/>
    <w:rsid w:val="007757F3"/>
    <w:rsid w:val="007C1B48"/>
    <w:rsid w:val="007C6C79"/>
    <w:rsid w:val="007E3B15"/>
    <w:rsid w:val="007E6AEB"/>
    <w:rsid w:val="008006BA"/>
    <w:rsid w:val="00805997"/>
    <w:rsid w:val="00880B7B"/>
    <w:rsid w:val="008817F1"/>
    <w:rsid w:val="008973EE"/>
    <w:rsid w:val="008C7562"/>
    <w:rsid w:val="008E24A1"/>
    <w:rsid w:val="00900333"/>
    <w:rsid w:val="00902FE8"/>
    <w:rsid w:val="00905671"/>
    <w:rsid w:val="00905D78"/>
    <w:rsid w:val="0092135F"/>
    <w:rsid w:val="00971600"/>
    <w:rsid w:val="009973B4"/>
    <w:rsid w:val="009A4C1D"/>
    <w:rsid w:val="009A66DD"/>
    <w:rsid w:val="009B115B"/>
    <w:rsid w:val="009B1D10"/>
    <w:rsid w:val="009B1E06"/>
    <w:rsid w:val="009C28C1"/>
    <w:rsid w:val="009C7332"/>
    <w:rsid w:val="009D23D3"/>
    <w:rsid w:val="009F7EED"/>
    <w:rsid w:val="00A6590C"/>
    <w:rsid w:val="00A80636"/>
    <w:rsid w:val="00A80B15"/>
    <w:rsid w:val="00A9231E"/>
    <w:rsid w:val="00AB7119"/>
    <w:rsid w:val="00AC5C22"/>
    <w:rsid w:val="00AF0AAB"/>
    <w:rsid w:val="00AF49FC"/>
    <w:rsid w:val="00BF597E"/>
    <w:rsid w:val="00BF67CB"/>
    <w:rsid w:val="00C11395"/>
    <w:rsid w:val="00C51A36"/>
    <w:rsid w:val="00C55228"/>
    <w:rsid w:val="00C63768"/>
    <w:rsid w:val="00CE315A"/>
    <w:rsid w:val="00CE5D62"/>
    <w:rsid w:val="00D06F59"/>
    <w:rsid w:val="00D2315B"/>
    <w:rsid w:val="00D23D69"/>
    <w:rsid w:val="00D8388C"/>
    <w:rsid w:val="00DA5314"/>
    <w:rsid w:val="00E0734F"/>
    <w:rsid w:val="00E30218"/>
    <w:rsid w:val="00E6224C"/>
    <w:rsid w:val="00E769AD"/>
    <w:rsid w:val="00E85C7B"/>
    <w:rsid w:val="00EB0164"/>
    <w:rsid w:val="00ED0F62"/>
    <w:rsid w:val="00F477C1"/>
    <w:rsid w:val="00F620AA"/>
    <w:rsid w:val="00F65ED2"/>
    <w:rsid w:val="00F7046F"/>
    <w:rsid w:val="00F959D2"/>
    <w:rsid w:val="00FF50BC"/>
    <w:rsid w:val="01260C71"/>
    <w:rsid w:val="016D18E6"/>
    <w:rsid w:val="01E27364"/>
    <w:rsid w:val="02C75A20"/>
    <w:rsid w:val="032F5195"/>
    <w:rsid w:val="036D7530"/>
    <w:rsid w:val="03A0688A"/>
    <w:rsid w:val="03A32F8E"/>
    <w:rsid w:val="03AC3D8E"/>
    <w:rsid w:val="03CE483E"/>
    <w:rsid w:val="03CF54E8"/>
    <w:rsid w:val="0405614C"/>
    <w:rsid w:val="04883DB3"/>
    <w:rsid w:val="04981EC9"/>
    <w:rsid w:val="04A67645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D612A"/>
    <w:rsid w:val="07243AF7"/>
    <w:rsid w:val="08767210"/>
    <w:rsid w:val="08851DD7"/>
    <w:rsid w:val="08C22483"/>
    <w:rsid w:val="08ED1EE8"/>
    <w:rsid w:val="09005957"/>
    <w:rsid w:val="095709AE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3E46B4"/>
    <w:rsid w:val="0D4D1326"/>
    <w:rsid w:val="0D5F425F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6E69D4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9B23E6"/>
    <w:rsid w:val="1CB1322F"/>
    <w:rsid w:val="1D076892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38611D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58F17BF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CF203D5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112ED"/>
    <w:rsid w:val="30945277"/>
    <w:rsid w:val="30C71DD4"/>
    <w:rsid w:val="30DC7CB1"/>
    <w:rsid w:val="30ED30CC"/>
    <w:rsid w:val="31064141"/>
    <w:rsid w:val="31640BD7"/>
    <w:rsid w:val="31B477DB"/>
    <w:rsid w:val="31B67BE2"/>
    <w:rsid w:val="31CA71DD"/>
    <w:rsid w:val="324E5138"/>
    <w:rsid w:val="325A6C71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2840023"/>
    <w:rsid w:val="43135B74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CA5AFC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4A6A4A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45EA3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AA42BB"/>
    <w:rsid w:val="63C65078"/>
    <w:rsid w:val="63EA156F"/>
    <w:rsid w:val="63EA6D88"/>
    <w:rsid w:val="64621F9C"/>
    <w:rsid w:val="64A537DD"/>
    <w:rsid w:val="64B96E85"/>
    <w:rsid w:val="64BB6795"/>
    <w:rsid w:val="64D069A0"/>
    <w:rsid w:val="64E67E4B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CD348D"/>
    <w:rsid w:val="6AF33939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9F56E2E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41026F"/>
    <w:rsid w:val="7D59343F"/>
    <w:rsid w:val="7E0A78B3"/>
    <w:rsid w:val="7E2912F3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No Spacing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Body 9pt"/>
    <w:basedOn w:val="1"/>
    <w:qFormat/>
    <w:uiPriority w:val="0"/>
    <w:pPr>
      <w:widowControl/>
      <w:spacing w:before="40" w:after="40"/>
      <w:jc w:val="left"/>
    </w:pPr>
    <w:rPr>
      <w:rFonts w:ascii="Arial" w:hAnsi="Arial" w:eastAsia="Times New Roman"/>
      <w:kern w:val="0"/>
      <w:sz w:val="18"/>
      <w:lang w:val="de-DE" w:eastAsia="de-DE"/>
    </w:rPr>
  </w:style>
  <w:style w:type="paragraph" w:customStyle="1" w:styleId="14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421</Words>
  <Characters>2402</Characters>
  <Lines>20</Lines>
  <Paragraphs>5</Paragraphs>
  <TotalTime>0</TotalTime>
  <ScaleCrop>false</ScaleCrop>
  <LinksUpToDate>false</LinksUpToDate>
  <CharactersWithSpaces>2818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2020-07-10T02:42:38Z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