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sz w:val="28"/>
              </w:rPr>
              <w:t>刘朦朦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岳树亮</w:t>
            </w:r>
            <w:bookmarkStart w:id="5" w:name="_GoBack"/>
            <w:bookmarkEnd w:id="5"/>
            <w:r>
              <w:rPr>
                <w:rFonts w:hint="eastAsia"/>
                <w:sz w:val="24"/>
                <w:szCs w:val="24"/>
                <w:lang w:eastAsia="zh-CN"/>
              </w:rPr>
              <w:t>（</w:t>
            </w:r>
            <w:r>
              <w:rPr>
                <w:rFonts w:hint="eastAsia"/>
                <w:sz w:val="24"/>
                <w:szCs w:val="24"/>
                <w:lang w:val="en-US" w:eastAsia="zh-CN"/>
              </w:rPr>
              <w:t>远程）</w:t>
            </w:r>
            <w:r>
              <w:rPr>
                <w:rFonts w:hint="eastAsia"/>
                <w:sz w:val="24"/>
                <w:szCs w:val="24"/>
              </w:rPr>
              <w:t xml:space="preserve">     审核日期：2020-07-</w:t>
            </w:r>
            <w:r>
              <w:rPr>
                <w:rFonts w:hint="eastAsia"/>
                <w:sz w:val="24"/>
                <w:szCs w:val="24"/>
                <w:lang w:val="en-US" w:eastAsia="zh-CN"/>
              </w:rPr>
              <w:t>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rFonts w:hint="default"/>
                <w:sz w:val="21"/>
                <w:szCs w:val="21"/>
                <w:lang w:val="en-US" w:eastAsia="zh-CN"/>
              </w:rPr>
              <w:t>OHS:</w:t>
            </w:r>
            <w:r>
              <w:rPr>
                <w:rFonts w:hint="default"/>
                <w:sz w:val="21"/>
                <w:szCs w:val="21"/>
                <w:lang w:val="en-US"/>
              </w:rPr>
              <w:t>4.1/4.2/4.3/4.4/5.1/5.2/5.3/5.4/6.1/</w:t>
            </w:r>
            <w:r>
              <w:rPr>
                <w:rFonts w:hint="eastAsia"/>
                <w:sz w:val="21"/>
                <w:szCs w:val="21"/>
                <w:lang w:val="en-US" w:eastAsia="zh-CN"/>
              </w:rPr>
              <w:t>6.1.2/6.1.3/6.1.4/</w:t>
            </w:r>
            <w:r>
              <w:rPr>
                <w:rFonts w:hint="default"/>
                <w:sz w:val="21"/>
                <w:szCs w:val="21"/>
                <w:lang w:val="en-US"/>
              </w:rPr>
              <w:t>6.2/7.1/</w:t>
            </w:r>
            <w:r>
              <w:rPr>
                <w:rFonts w:hint="default"/>
                <w:sz w:val="21"/>
                <w:szCs w:val="21"/>
                <w:lang w:val="en-US" w:eastAsia="zh-CN"/>
              </w:rPr>
              <w:t>7</w:t>
            </w:r>
            <w:r>
              <w:rPr>
                <w:rFonts w:hint="default"/>
                <w:sz w:val="21"/>
                <w:szCs w:val="21"/>
                <w:lang w:val="en-US"/>
              </w:rPr>
              <w:t>.</w:t>
            </w:r>
            <w:r>
              <w:rPr>
                <w:rFonts w:hint="eastAsia"/>
                <w:sz w:val="21"/>
                <w:szCs w:val="21"/>
                <w:lang w:val="en-US" w:eastAsia="zh-CN"/>
              </w:rPr>
              <w:t>3</w:t>
            </w:r>
            <w:r>
              <w:rPr>
                <w:rFonts w:hint="default"/>
                <w:sz w:val="21"/>
                <w:szCs w:val="21"/>
                <w:lang w:val="en-US"/>
              </w:rPr>
              <w:t>/</w:t>
            </w:r>
            <w:r>
              <w:rPr>
                <w:rFonts w:hint="eastAsia"/>
                <w:sz w:val="21"/>
                <w:szCs w:val="21"/>
                <w:lang w:val="en-US" w:eastAsia="zh-CN"/>
              </w:rPr>
              <w:t>8.1.3/</w:t>
            </w:r>
            <w:r>
              <w:rPr>
                <w:rFonts w:hint="default"/>
                <w:sz w:val="21"/>
                <w:szCs w:val="21"/>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公司环境分析控制程序</w:t>
            </w:r>
            <w:r>
              <w:rPr>
                <w:rFonts w:hint="eastAsia"/>
                <w:lang w:val="en-US" w:eastAsia="zh-CN"/>
              </w:rPr>
              <w:t>》、管理手册第4.1章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7"/>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6980"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法律法规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社会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69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安环法律法规越来越严格、监管力度加大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698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698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员工自我保护意识较强，在意设备安全性、作业场所检测达标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生产工艺简单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s="Times New Roman"/>
                      <w:b w:val="0"/>
                      <w:bCs w:val="0"/>
                      <w:color w:val="auto"/>
                      <w:kern w:val="2"/>
                      <w:sz w:val="21"/>
                      <w:highlight w:val="none"/>
                      <w:lang w:val="en-US" w:eastAsia="zh-CN" w:bidi="ar-SA"/>
                    </w:rPr>
                    <w:t>食品安全风险大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交通事故、触电伤害、火灾事故、冻伤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与同类企业相比职业健康安全控制强</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组织及其环境</w:t>
            </w:r>
            <w:r>
              <w:rPr>
                <w:rFonts w:hint="eastAsia"/>
                <w:color w:val="auto"/>
                <w:lang w:val="en-US" w:eastAsia="zh-CN"/>
              </w:rPr>
              <w:t xml:space="preserve">分析表》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0" w:name="_Toc17985659"/>
            <w:r>
              <w:rPr>
                <w:rFonts w:hint="eastAsia" w:ascii="Arial" w:hAnsi="Arial"/>
              </w:rPr>
              <w:t>理解工作人员和其他相关方的需求和期望</w:t>
            </w:r>
            <w:bookmarkEnd w:id="0"/>
          </w:p>
          <w:p>
            <w:pPr>
              <w:rPr>
                <w:rFonts w:hint="eastAsia" w:ascii="Arial" w:hAnsi="Arial"/>
              </w:rPr>
            </w:pPr>
          </w:p>
        </w:tc>
        <w:tc>
          <w:tcPr>
            <w:tcW w:w="960" w:type="dxa"/>
            <w:vMerge w:val="restart"/>
          </w:tcPr>
          <w:p>
            <w:r>
              <w:rPr>
                <w:rFonts w:hint="eastAsia"/>
                <w:lang w:val="en-US" w:eastAsia="zh-CN"/>
              </w:rPr>
              <w:t>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default"/>
                      <w:color w:val="auto"/>
                      <w:szCs w:val="22"/>
                      <w:vertAlign w:val="baseline"/>
                      <w:lang w:val="en-US" w:eastAsia="zh-CN"/>
                    </w:rPr>
                  </w:pPr>
                  <w:r>
                    <w:rPr>
                      <w:rFonts w:hint="eastAsia"/>
                      <w:color w:val="auto"/>
                      <w:szCs w:val="22"/>
                      <w:vertAlign w:val="baseline"/>
                      <w:lang w:val="en-US" w:eastAsia="zh-CN"/>
                    </w:rPr>
                    <w:t>☑主管部门</w:t>
                  </w:r>
                </w:p>
              </w:tc>
              <w:tc>
                <w:tcPr>
                  <w:tcW w:w="2495" w:type="dxa"/>
                  <w:vAlign w:val="top"/>
                </w:tcPr>
                <w:p>
                  <w:pPr>
                    <w:rPr>
                      <w:rFonts w:hint="default"/>
                      <w:color w:val="auto"/>
                      <w:szCs w:val="22"/>
                      <w:vertAlign w:val="baseline"/>
                      <w:lang w:val="en-US" w:eastAsia="zh-CN"/>
                    </w:rPr>
                  </w:pPr>
                  <w:r>
                    <w:rPr>
                      <w:rFonts w:hint="eastAsia"/>
                      <w:color w:val="auto"/>
                      <w:szCs w:val="22"/>
                      <w:vertAlign w:val="baseline"/>
                      <w:lang w:val="en-US" w:eastAsia="zh-CN"/>
                    </w:rPr>
                    <w:t>当地市场监督管理局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top"/>
                </w:tcPr>
                <w:p>
                  <w:pPr>
                    <w:rPr>
                      <w:rFonts w:hint="default" w:ascii="Times New Roman" w:hAnsi="Times New Roman" w:eastAsia="宋体" w:cs="Times New Roman"/>
                      <w:color w:val="auto"/>
                      <w:kern w:val="2"/>
                      <w:sz w:val="21"/>
                      <w:highlight w:val="yellow"/>
                      <w:lang w:val="en-US" w:eastAsia="zh-CN" w:bidi="ar-SA"/>
                    </w:rPr>
                  </w:pPr>
                  <w:r>
                    <w:rPr>
                      <w:rFonts w:hint="eastAsia"/>
                      <w:color w:val="auto"/>
                      <w:vertAlign w:val="baseline"/>
                      <w:lang w:val="en-US" w:eastAsia="zh-CN"/>
                    </w:rPr>
                    <w:t>山东龙大肉食品股份有限公司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495" w:type="dxa"/>
                  <w:vAlign w:val="top"/>
                </w:tcPr>
                <w:p>
                  <w:pPr>
                    <w:rPr>
                      <w:rFonts w:hint="default" w:ascii="Times New Roman" w:hAnsi="Times New Roman" w:eastAsia="宋体" w:cs="Times New Roman"/>
                      <w:color w:val="auto"/>
                      <w:kern w:val="2"/>
                      <w:sz w:val="21"/>
                      <w:highlight w:val="yellow"/>
                      <w:lang w:val="en-US" w:eastAsia="zh-CN" w:bidi="ar-SA"/>
                    </w:rPr>
                  </w:pPr>
                  <w:r>
                    <w:rPr>
                      <w:rFonts w:hint="eastAsia" w:ascii="宋体" w:hAnsi="宋体"/>
                      <w:color w:val="auto"/>
                      <w:szCs w:val="21"/>
                      <w:lang w:val="en-US" w:eastAsia="zh-CN"/>
                    </w:rPr>
                    <w:t>苏州市吴中区临湖第一中学</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s="Times New Roman"/>
                      <w:color w:val="1D41D5"/>
                      <w:kern w:val="2"/>
                      <w:sz w:val="21"/>
                      <w:highlight w:val="none"/>
                      <w:vertAlign w:val="baseline"/>
                      <w:lang w:val="en-US" w:eastAsia="zh-CN" w:bidi="ar-SA"/>
                    </w:rPr>
                    <w:t>不适用</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不适用</w:t>
                  </w: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相关方的需求和期望</w:t>
            </w:r>
            <w:r>
              <w:rPr>
                <w:rFonts w:hint="eastAsia"/>
                <w:lang w:val="en-US" w:eastAsia="zh-CN"/>
              </w:rPr>
              <w:t xml:space="preserve">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rPr>
                      <w:rFonts w:hint="default"/>
                      <w:vertAlign w:val="baseline"/>
                      <w:lang w:val="en-US" w:eastAsia="zh-CN"/>
                    </w:rPr>
                  </w:pPr>
                  <w:r>
                    <w:rPr>
                      <w:rFonts w:hint="eastAsia"/>
                      <w:vertAlign w:val="baseline"/>
                      <w:lang w:val="en-US" w:eastAsia="zh-CN"/>
                    </w:rPr>
                    <w:t>范围的项目</w:t>
                  </w:r>
                </w:p>
              </w:tc>
              <w:tc>
                <w:tcPr>
                  <w:tcW w:w="4117" w:type="dxa"/>
                  <w:vAlign w:val="center"/>
                </w:tcPr>
                <w:p>
                  <w:pPr>
                    <w:jc w:val="center"/>
                    <w:rPr>
                      <w:rFonts w:hint="default"/>
                      <w:vertAlign w:val="baseline"/>
                      <w:lang w:val="en-US" w:eastAsia="zh-CN"/>
                    </w:rPr>
                  </w:pPr>
                  <w:r>
                    <w:rPr>
                      <w:rFonts w:hint="eastAsia"/>
                      <w:vertAlign w:val="baseline"/>
                      <w:lang w:val="en-US" w:eastAsia="zh-CN"/>
                    </w:rPr>
                    <w:t>内容描述</w:t>
                  </w:r>
                </w:p>
              </w:tc>
              <w:tc>
                <w:tcPr>
                  <w:tcW w:w="3015" w:type="dxa"/>
                  <w:vAlign w:val="center"/>
                </w:tcPr>
                <w:p>
                  <w:pPr>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预包装食品（米、面、粮油、冷冻肉），初级农产品（蔬菜、畜禽肉类、蛋类）的销售及相关职业健康安全管理活动</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bookmarkStart w:id="1" w:name="生产地址"/>
                  <w:r>
                    <w:rPr>
                      <w:rFonts w:asciiTheme="minorEastAsia" w:hAnsiTheme="minorEastAsia" w:eastAsiaTheme="minorEastAsia"/>
                      <w:sz w:val="20"/>
                    </w:rPr>
                    <w:t>苏州市吴中区越溪木林路33号</w:t>
                  </w:r>
                  <w:bookmarkEnd w:id="1"/>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 近三个月</w:t>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1"/>
            <w:r>
              <w:rPr>
                <w:rFonts w:hint="eastAsia" w:ascii="Arial" w:hAnsi="Arial"/>
              </w:rPr>
              <w:t>职业健康安全管理体系</w:t>
            </w:r>
            <w:bookmarkEnd w:id="2"/>
          </w:p>
        </w:tc>
        <w:tc>
          <w:tcPr>
            <w:tcW w:w="960" w:type="dxa"/>
            <w:vMerge w:val="restart"/>
          </w:tcPr>
          <w:p>
            <w:r>
              <w:rPr>
                <w:rFonts w:hint="eastAsia"/>
                <w:lang w:val="en-US" w:eastAsia="zh-CN"/>
              </w:rPr>
              <w:t>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r>
              <w:rPr>
                <w:rFonts w:hint="eastAsia"/>
                <w:szCs w:val="22"/>
                <w:u w:val="single"/>
                <w:vertAlign w:val="baseline"/>
                <w:lang w:val="en-US" w:eastAsia="zh-CN"/>
              </w:rPr>
              <w:t>宾客至上、质量第一，保护环境、预防第一、诚信守法、安全第一、持续改进、永续经营</w:t>
            </w:r>
            <w:r>
              <w:rPr>
                <w:rFonts w:hint="eastAsia"/>
                <w:u w:val="single"/>
                <w:vertAlign w:val="baseline"/>
                <w:lang w:val="en-US" w:eastAsia="zh-CN"/>
              </w:rPr>
              <w:t>。</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管理部</w:t>
                  </w:r>
                </w:p>
              </w:tc>
              <w:tc>
                <w:tcPr>
                  <w:tcW w:w="2261"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26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采购部</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物流部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6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管理部</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管理部</w:t>
                  </w: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刘朦朦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3" w:name="_Toc17985666"/>
            <w:r>
              <w:rPr>
                <w:rFonts w:hint="eastAsia" w:ascii="Arial" w:hAnsi="Arial"/>
              </w:rPr>
              <w:t>工作人员的协商和参与</w:t>
            </w:r>
            <w:bookmarkEnd w:id="3"/>
          </w:p>
        </w:tc>
        <w:tc>
          <w:tcPr>
            <w:tcW w:w="960" w:type="dxa"/>
            <w:vMerge w:val="restart"/>
          </w:tcPr>
          <w:p>
            <w:r>
              <w:rPr>
                <w:rFonts w:hint="eastAsia"/>
                <w:lang w:val="en-US" w:eastAsia="zh-CN"/>
              </w:rPr>
              <w:t>O</w:t>
            </w:r>
            <w:r>
              <w:rPr>
                <w:rFonts w:hint="eastAsia"/>
              </w:rPr>
              <w:t>5.</w:t>
            </w:r>
            <w:r>
              <w:rPr>
                <w:rFonts w:hint="eastAsia"/>
                <w:lang w:val="en-US" w:eastAsia="zh-CN"/>
              </w:rPr>
              <w:t>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邱丽娜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vAlign w:val="center"/>
                </w:tcPr>
                <w:p>
                  <w:pPr>
                    <w:jc w:val="both"/>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right="0"/>
                    <w:jc w:val="center"/>
                    <w:rPr>
                      <w:rFonts w:hint="default"/>
                      <w:color w:val="auto"/>
                      <w:szCs w:val="22"/>
                      <w:highlight w:val="none"/>
                      <w:vertAlign w:val="baseline"/>
                      <w:lang w:val="en-US" w:eastAsia="zh-CN"/>
                    </w:rPr>
                  </w:pPr>
                  <w:r>
                    <w:rPr>
                      <w:rFonts w:hint="eastAsia"/>
                      <w:color w:val="auto"/>
                      <w:szCs w:val="22"/>
                      <w:highlight w:val="none"/>
                      <w:vertAlign w:val="baseline"/>
                      <w:lang w:val="en-US" w:eastAsia="zh-CN"/>
                    </w:rPr>
                    <w:t>交通事故</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center"/>
                    <w:rPr>
                      <w:rFonts w:hint="eastAsia"/>
                      <w:color w:val="auto"/>
                      <w:szCs w:val="22"/>
                      <w:highlight w:val="none"/>
                      <w:vertAlign w:val="baseline"/>
                      <w:lang w:val="en-US" w:eastAsia="zh-CN"/>
                    </w:rPr>
                  </w:pPr>
                  <w:r>
                    <w:rPr>
                      <w:rFonts w:hint="eastAsia"/>
                      <w:color w:val="auto"/>
                      <w:szCs w:val="22"/>
                      <w:highlight w:val="none"/>
                      <w:vertAlign w:val="baseline"/>
                      <w:lang w:val="en-US" w:eastAsia="zh-CN"/>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right="0"/>
                    <w:jc w:val="center"/>
                    <w:rPr>
                      <w:rFonts w:hint="default"/>
                      <w:color w:val="auto"/>
                      <w:szCs w:val="22"/>
                      <w:highlight w:val="none"/>
                      <w:vertAlign w:val="baseline"/>
                      <w:lang w:val="en-US" w:eastAsia="zh-CN"/>
                    </w:rPr>
                  </w:pPr>
                  <w:r>
                    <w:rPr>
                      <w:rFonts w:hint="eastAsia"/>
                      <w:color w:val="auto"/>
                      <w:szCs w:val="22"/>
                      <w:highlight w:val="none"/>
                      <w:vertAlign w:val="baseline"/>
                      <w:lang w:val="en-US" w:eastAsia="zh-CN"/>
                    </w:rPr>
                    <w:t>触电</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center"/>
                    <w:rPr>
                      <w:rFonts w:hint="default"/>
                      <w:color w:val="auto"/>
                      <w:szCs w:val="22"/>
                      <w:highlight w:val="none"/>
                      <w:vertAlign w:val="baseline"/>
                      <w:lang w:val="en-US" w:eastAsia="zh-CN"/>
                    </w:rPr>
                  </w:pPr>
                  <w:r>
                    <w:rPr>
                      <w:rFonts w:hint="eastAsia"/>
                      <w:color w:val="auto"/>
                      <w:szCs w:val="22"/>
                      <w:highlight w:val="none"/>
                      <w:vertAlign w:val="baseline"/>
                      <w:lang w:val="en-US" w:eastAsia="zh-CN"/>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right="0"/>
                    <w:jc w:val="center"/>
                    <w:rPr>
                      <w:rFonts w:hint="eastAsia"/>
                      <w:color w:val="auto"/>
                      <w:szCs w:val="22"/>
                      <w:highlight w:val="none"/>
                      <w:vertAlign w:val="baseline"/>
                      <w:lang w:val="en-US" w:eastAsia="zh-CN"/>
                    </w:rPr>
                  </w:pPr>
                  <w:r>
                    <w:rPr>
                      <w:rFonts w:hint="eastAsia"/>
                      <w:color w:val="auto"/>
                      <w:szCs w:val="22"/>
                      <w:highlight w:val="none"/>
                      <w:vertAlign w:val="baseline"/>
                      <w:lang w:val="en-US" w:eastAsia="zh-CN"/>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center"/>
                    <w:rPr>
                      <w:rFonts w:hint="default"/>
                      <w:color w:val="auto"/>
                      <w:szCs w:val="22"/>
                      <w:highlight w:val="none"/>
                      <w:vertAlign w:val="baseline"/>
                      <w:lang w:val="en-US" w:eastAsia="zh-CN"/>
                    </w:rPr>
                  </w:pPr>
                  <w:r>
                    <w:rPr>
                      <w:rFonts w:hint="eastAsia"/>
                      <w:color w:val="auto"/>
                      <w:szCs w:val="22"/>
                      <w:highlight w:val="none"/>
                      <w:vertAlign w:val="baseline"/>
                      <w:lang w:val="en-US" w:eastAsia="zh-CN"/>
                    </w:rPr>
                    <w:t>操作现场禁止吸烟，安全用电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7"/>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不发生职业健康安全事故，建立良好声誉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FE"/>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FE"/>
            </w:r>
            <w:r>
              <w:rPr>
                <w:rFonts w:hint="eastAsia"/>
                <w:lang w:val="en-US" w:eastAsia="zh-CN"/>
              </w:rPr>
              <w:t xml:space="preserve">辅助活动   </w:t>
            </w:r>
            <w:r>
              <w:rPr>
                <w:rFonts w:hint="default"/>
                <w:lang w:val="en-US" w:eastAsia="zh-CN"/>
              </w:rPr>
              <w:sym w:font="Wingdings" w:char="00A8"/>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default"/>
                <w:lang w:val="en-US" w:eastAsia="zh-CN"/>
              </w:rPr>
            </w:pPr>
            <w:r>
              <w:rPr>
                <w:rFonts w:hint="eastAsia"/>
                <w:lang w:val="en-US" w:eastAsia="zh-CN"/>
              </w:rPr>
              <w:t xml:space="preserve">组织的重大危险源包括：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重大危险源</w:t>
                  </w:r>
                </w:p>
              </w:tc>
              <w:tc>
                <w:tcPr>
                  <w:tcW w:w="2563"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职业健康安全风险</w:t>
                  </w:r>
                </w:p>
              </w:tc>
              <w:tc>
                <w:tcPr>
                  <w:tcW w:w="3317"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lang w:val="en-GB" w:eastAsia="zh-CN"/>
                    </w:rPr>
                  </w:pPr>
                  <w:r>
                    <w:rPr>
                      <w:rFonts w:hint="eastAsia"/>
                      <w:lang w:val="en-US" w:eastAsia="zh-CN"/>
                    </w:rPr>
                    <w:t xml:space="preserve">   </w:t>
                  </w: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lang w:val="en-GB" w:eastAsia="zh-CN"/>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563"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c>
                <w:tcPr>
                  <w:tcW w:w="3317"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rPr>
                  </w:pPr>
                </w:p>
              </w:tc>
            </w:tr>
          </w:tbl>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FE"/>
            </w:r>
            <w:r>
              <w:rPr>
                <w:rFonts w:hint="eastAsia"/>
                <w:lang w:val="en-US" w:eastAsia="zh-CN"/>
              </w:rPr>
              <w:t xml:space="preserve">物体打击     </w:t>
            </w:r>
            <w:r>
              <w:rPr>
                <w:rFonts w:hint="default"/>
                <w:lang w:val="en-US" w:eastAsia="zh-CN"/>
              </w:rPr>
              <w:sym w:font="Wingdings" w:char="00A8"/>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A8"/>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A8"/>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FE"/>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FE"/>
            </w:r>
            <w:r>
              <w:rPr>
                <w:rFonts w:hint="eastAsia"/>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A8"/>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6"/>
              <w:tblW w:w="7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0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lang w:eastAsia="zh-CN"/>
                    </w:rPr>
                  </w:pPr>
                  <w:r>
                    <w:rPr>
                      <w:rFonts w:hint="eastAsia"/>
                      <w:lang w:val="en-US" w:eastAsia="zh-CN"/>
                    </w:rPr>
                    <w:t>重大危险源</w:t>
                  </w:r>
                </w:p>
              </w:tc>
              <w:tc>
                <w:tcPr>
                  <w:tcW w:w="200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职业健康安全风险</w:t>
                  </w:r>
                </w:p>
              </w:tc>
              <w:tc>
                <w:tcPr>
                  <w:tcW w:w="4600"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lang w:val="en-US" w:eastAsia="zh-CN"/>
                    </w:rPr>
                  </w:pPr>
                  <w:r>
                    <w:rPr>
                      <w:rFonts w:hint="eastAsia"/>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lang w:eastAsia="zh-CN"/>
                    </w:rPr>
                  </w:pPr>
                  <w:r>
                    <w:rPr>
                      <w:rFonts w:hint="eastAsia"/>
                    </w:rPr>
                    <w:t>交通事故</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GB" w:eastAsia="zh-CN"/>
                    </w:rPr>
                  </w:pPr>
                  <w:r>
                    <w:rPr>
                      <w:rFonts w:hint="eastAsia"/>
                    </w:rPr>
                    <w:t>潜在的人身伤害</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GB" w:eastAsia="zh-CN"/>
                    </w:rPr>
                  </w:pPr>
                  <w:r>
                    <w:rPr>
                      <w:rFonts w:hint="eastAsia"/>
                    </w:rPr>
                    <w:t>按交通法规驾驶车辆行驶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rPr>
                  </w:pPr>
                  <w:r>
                    <w:rPr>
                      <w:rFonts w:hint="eastAsia"/>
                    </w:rPr>
                    <w:t>火灾</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rPr>
                    <w:t>潜在火灾、爆炸</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rPr>
                    <w:t>操作现场禁止吸烟</w:t>
                  </w:r>
                  <w:r>
                    <w:rPr>
                      <w:rFonts w:hint="eastAsia"/>
                      <w:lang w:eastAsia="zh-CN"/>
                    </w:rPr>
                    <w:t>，日常检修供电线路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rPr>
                  </w:pPr>
                  <w:r>
                    <w:rPr>
                      <w:rFonts w:hint="eastAsia"/>
                    </w:rPr>
                    <w:t>安全用电</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rPr>
                    <w:t>人身伤亡</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eastAsia="zh-CN"/>
                    </w:rPr>
                    <w:t>加强人员培训，按规章安全用电，检修供电线路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rPr>
                  </w:pPr>
                  <w:r>
                    <w:rPr>
                      <w:rFonts w:hint="eastAsia"/>
                    </w:rPr>
                    <w:t>冻伤</w:t>
                  </w:r>
                </w:p>
              </w:tc>
              <w:tc>
                <w:tcPr>
                  <w:tcW w:w="20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rPr>
                    <w:t>人身伤亡</w:t>
                  </w:r>
                </w:p>
              </w:tc>
              <w:tc>
                <w:tcPr>
                  <w:tcW w:w="4600" w:type="dxa"/>
                  <w:shd w:val="clear" w:color="auto" w:fill="auto"/>
                  <w:vAlign w:val="center"/>
                </w:tcPr>
                <w:p>
                  <w:pPr>
                    <w:keepNext w:val="0"/>
                    <w:keepLines w:val="0"/>
                    <w:widowControl w:val="0"/>
                    <w:numPr>
                      <w:ilvl w:val="0"/>
                      <w:numId w:val="0"/>
                    </w:numPr>
                    <w:suppressLineNumbers w:val="0"/>
                    <w:spacing w:before="0" w:beforeAutospacing="0" w:after="0" w:afterAutospacing="0"/>
                    <w:ind w:left="0" w:right="0"/>
                    <w:jc w:val="left"/>
                    <w:rPr>
                      <w:rFonts w:hint="eastAsia"/>
                      <w:lang w:val="en-US" w:eastAsia="zh-CN"/>
                    </w:rPr>
                  </w:pPr>
                  <w:r>
                    <w:rPr>
                      <w:rFonts w:hint="eastAsia"/>
                      <w:lang w:eastAsia="zh-CN"/>
                    </w:rPr>
                    <w:t>按规程使用冷藏设施，做好人员防护</w:t>
                  </w:r>
                </w:p>
              </w:tc>
            </w:tr>
          </w:tbl>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6"/>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3"/>
                <w:numId w:val="0"/>
              </w:numPr>
            </w:pPr>
            <w:bookmarkStart w:id="4"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4"/>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264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67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453"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江苏省消防条例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GB" w:eastAsia="zh-CN" w:bidi="ar-SA"/>
                    </w:rPr>
                  </w:pPr>
                  <w:r>
                    <w:rPr>
                      <w:rFonts w:hint="eastAsia" w:cs="Times New Roman"/>
                      <w:kern w:val="2"/>
                      <w:sz w:val="21"/>
                      <w:szCs w:val="24"/>
                      <w:highlight w:val="none"/>
                      <w:lang w:val="en-US" w:eastAsia="zh-CN" w:bidi="ar-SA"/>
                    </w:rPr>
                    <w:t>第14/16/17/22条款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GB" w:eastAsia="zh-CN" w:bidi="ar-SA"/>
                    </w:rPr>
                  </w:pPr>
                  <w:r>
                    <w:rPr>
                      <w:rFonts w:hint="eastAsia" w:ascii="宋体" w:hAnsi="宋体" w:cs="Times New Roman"/>
                      <w:kern w:val="2"/>
                      <w:sz w:val="21"/>
                      <w:szCs w:val="24"/>
                      <w:highlight w:val="none"/>
                      <w:lang w:val="en-US" w:eastAsia="zh-CN" w:bidi="ar-SA"/>
                    </w:rPr>
                    <w:t>消防管理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GB" w:eastAsia="zh-CN" w:bidi="ar-SA"/>
                    </w:rPr>
                  </w:pPr>
                  <w:r>
                    <w:rPr>
                      <w:rFonts w:hint="eastAsia" w:ascii="宋体" w:hAnsi="宋体"/>
                      <w:highlight w:val="none"/>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5/14/16/19/20/23/30/32/33/38/49/50</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江苏省工伤保险条例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第4条</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工伤管理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p>
              </w:tc>
            </w:tr>
          </w:tbl>
          <w:p>
            <w:pPr>
              <w:rPr>
                <w:rFonts w:hint="eastAsia"/>
                <w:vertAlign w:val="baseline"/>
                <w:lang w:val="en-US" w:eastAsia="zh-CN"/>
              </w:rPr>
            </w:pP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不适用   </w:t>
            </w:r>
          </w:p>
          <w:p>
            <w:pPr>
              <w:rPr>
                <w:rFonts w:hint="eastAsia"/>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vertAlign w:val="baseline"/>
                <w:lang w:val="en-US" w:eastAsia="zh-CN"/>
              </w:rPr>
            </w:pPr>
          </w:p>
          <w:p>
            <w:pPr>
              <w:rPr>
                <w:rFonts w:hint="default"/>
                <w:color w:val="000000"/>
                <w:szCs w:val="18"/>
                <w:highlight w:val="non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意见书</w:t>
            </w:r>
            <w:r>
              <w:rPr>
                <w:rFonts w:hint="eastAsia"/>
                <w:color w:val="000000"/>
                <w:szCs w:val="18"/>
                <w:highlight w:val="none"/>
                <w:lang w:eastAsia="zh-CN"/>
              </w:rPr>
              <w:t>》</w:t>
            </w:r>
            <w:r>
              <w:rPr>
                <w:rFonts w:hint="eastAsia"/>
                <w:color w:val="000000"/>
                <w:szCs w:val="18"/>
                <w:highlight w:val="none"/>
                <w:lang w:val="en-US" w:eastAsia="zh-CN"/>
              </w:rPr>
              <w:t xml:space="preserve">编号：              颁发日期：          </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交通意外事故</w:t>
                  </w:r>
                </w:p>
              </w:tc>
              <w:tc>
                <w:tcPr>
                  <w:tcW w:w="3136"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jc w:val="center"/>
                    <w:rPr>
                      <w:rFonts w:hint="eastAsia"/>
                      <w:color w:val="auto"/>
                      <w:szCs w:val="21"/>
                      <w:lang w:val="en-US" w:eastAsia="zh-CN"/>
                    </w:rPr>
                  </w:pPr>
                  <w:r>
                    <w:rPr>
                      <w:rFonts w:hint="eastAsia"/>
                      <w:color w:val="auto"/>
                      <w:szCs w:val="21"/>
                      <w:lang w:val="en-US" w:eastAsia="zh-CN"/>
                    </w:rPr>
                    <w:t>火灾事故</w:t>
                  </w:r>
                </w:p>
              </w:tc>
              <w:tc>
                <w:tcPr>
                  <w:tcW w:w="313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lang w:eastAsia="zh-CN"/>
                    </w:rPr>
                    <w:t>触电事故</w:t>
                  </w:r>
                </w:p>
              </w:tc>
              <w:tc>
                <w:tcPr>
                  <w:tcW w:w="313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jc w:val="center"/>
                    <w:rPr>
                      <w:rFonts w:hint="eastAsia"/>
                      <w:color w:val="auto"/>
                      <w:lang w:eastAsia="zh-CN"/>
                    </w:rPr>
                  </w:pPr>
                  <w:r>
                    <w:rPr>
                      <w:rFonts w:hint="eastAsia"/>
                      <w:color w:val="auto"/>
                      <w:lang w:eastAsia="zh-CN"/>
                    </w:rPr>
                    <w:t>人身伤害</w:t>
                  </w:r>
                </w:p>
              </w:tc>
              <w:tc>
                <w:tcPr>
                  <w:tcW w:w="3136"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5000 </w:t>
            </w:r>
            <w:r>
              <w:rPr>
                <w:rFonts w:hint="eastAsia"/>
                <w:vertAlign w:val="baseline"/>
                <w:lang w:val="en-US" w:eastAsia="zh-CN"/>
              </w:rPr>
              <w:t>平方米，冷冻库房</w:t>
            </w:r>
            <w:r>
              <w:rPr>
                <w:rFonts w:hint="eastAsia"/>
                <w:u w:val="single"/>
                <w:vertAlign w:val="baseline"/>
                <w:lang w:val="en-US" w:eastAsia="zh-CN"/>
              </w:rPr>
              <w:t xml:space="preserve"> 5 </w:t>
            </w:r>
            <w:r>
              <w:rPr>
                <w:rFonts w:hint="eastAsia"/>
                <w:vertAlign w:val="baseline"/>
                <w:lang w:val="en-US" w:eastAsia="zh-CN"/>
              </w:rPr>
              <w:t>个，冷藏库房</w:t>
            </w:r>
            <w:r>
              <w:rPr>
                <w:rFonts w:hint="eastAsia"/>
                <w:u w:val="single"/>
                <w:vertAlign w:val="baseline"/>
                <w:lang w:val="en-US" w:eastAsia="zh-CN"/>
              </w:rPr>
              <w:t xml:space="preserve"> 1 </w:t>
            </w:r>
            <w:r>
              <w:rPr>
                <w:rFonts w:hint="eastAsia"/>
                <w:vertAlign w:val="baseline"/>
                <w:lang w:val="en-US" w:eastAsia="zh-CN"/>
              </w:rPr>
              <w:t>个，实验室</w:t>
            </w:r>
            <w:r>
              <w:rPr>
                <w:rFonts w:hint="eastAsia"/>
                <w:u w:val="single"/>
                <w:vertAlign w:val="baseline"/>
                <w:lang w:val="en-US" w:eastAsia="zh-CN"/>
              </w:rPr>
              <w:t xml:space="preserve"> 1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冷藏车，仓库，台秤，栈板，电脑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388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84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3889"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310" w:type="dxa"/>
                </w:tcPr>
                <w:p>
                  <w:pPr>
                    <w:jc w:val="center"/>
                    <w:rPr>
                      <w:rFonts w:hint="eastAsia" w:eastAsia="宋体"/>
                      <w:color w:val="auto"/>
                      <w:highlight w:val="none"/>
                      <w:vertAlign w:val="baseline"/>
                      <w:lang w:eastAsia="zh-CN"/>
                    </w:rPr>
                  </w:pPr>
                  <w:r>
                    <w:rPr>
                      <w:rFonts w:hint="eastAsia"/>
                      <w:color w:val="auto"/>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844" w:type="dxa"/>
                </w:tcPr>
                <w:p>
                  <w:pPr>
                    <w:rPr>
                      <w:rFonts w:hint="eastAsia"/>
                      <w:color w:val="auto"/>
                      <w:highlight w:val="none"/>
                      <w:vertAlign w:val="baseline"/>
                    </w:rPr>
                  </w:pPr>
                  <w:r>
                    <w:rPr>
                      <w:rFonts w:hint="eastAsia"/>
                      <w:color w:val="auto"/>
                      <w:highlight w:val="none"/>
                    </w:rPr>
                    <w:t>职业健康安全方针和职业健康安全目标</w:t>
                  </w:r>
                </w:p>
              </w:tc>
              <w:tc>
                <w:tcPr>
                  <w:tcW w:w="3889" w:type="dxa"/>
                  <w:vAlign w:val="center"/>
                </w:tcPr>
                <w:p>
                  <w:pPr>
                    <w:jc w:val="both"/>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38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38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与其相关的事件和调查结果</w:t>
                  </w:r>
                </w:p>
              </w:tc>
              <w:tc>
                <w:tcPr>
                  <w:tcW w:w="38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pPr>
                    <w:rPr>
                      <w:rFonts w:hint="eastAsia"/>
                      <w:color w:val="auto"/>
                      <w:highlight w:val="none"/>
                    </w:rPr>
                  </w:pPr>
                  <w:r>
                    <w:rPr>
                      <w:rFonts w:hint="eastAsia"/>
                      <w:color w:val="auto"/>
                      <w:highlight w:val="none"/>
                    </w:rPr>
                    <w:t>与其相关的危险源、职业健康安全风险和所确定的措施</w:t>
                  </w:r>
                </w:p>
              </w:tc>
              <w:tc>
                <w:tcPr>
                  <w:tcW w:w="38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388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310" w:type="dxa"/>
                </w:tcPr>
                <w:p>
                  <w:pPr>
                    <w:rPr>
                      <w:rFonts w:hint="eastAsia"/>
                      <w:color w:val="auto"/>
                      <w:highlight w:val="none"/>
                      <w:vertAlign w:val="baseline"/>
                    </w:rPr>
                  </w:pPr>
                </w:p>
              </w:tc>
            </w:tr>
          </w:tbl>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vMerge w:val="restart"/>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xml:space="preserve">  无变更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bl>
          <w:p>
            <w:pPr>
              <w:rPr>
                <w:rFonts w:hint="eastAsia"/>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center"/>
                </w:tcPr>
                <w:p>
                  <w:pPr>
                    <w:widowControl/>
                    <w:spacing w:before="40"/>
                    <w:jc w:val="both"/>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center"/>
                </w:tcPr>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提升员工安全生产意识</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完善应急预案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GB/T 45000换版过程中加强一体化审核</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组织确定了改进机会，并采取必要措施，以实现其职业健康安全管理体系的预期结果。。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vAlign w:val="center"/>
                </w:tcPr>
                <w:p>
                  <w:pPr>
                    <w:jc w:val="both"/>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见OHS意识的培养</w:t>
                  </w:r>
                </w:p>
              </w:tc>
              <w:tc>
                <w:tcPr>
                  <w:tcW w:w="1947" w:type="dxa"/>
                  <w:vAlign w:val="center"/>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highlight w:val="none"/>
                      <w:vertAlign w:val="baseline"/>
                    </w:rPr>
                  </w:pPr>
                  <w:r>
                    <w:rPr>
                      <w:rFonts w:hint="eastAsia"/>
                      <w:highlight w:val="none"/>
                    </w:rPr>
                    <w:t>促进工作人员参与职业健康安全管理体系持续改进措施的实施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arjTC1AQAAQA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0FD1E31"/>
    <w:rsid w:val="010054DC"/>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021A5E"/>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F92D63"/>
    <w:rsid w:val="3545030D"/>
    <w:rsid w:val="35527F1F"/>
    <w:rsid w:val="356E7CA4"/>
    <w:rsid w:val="357914C0"/>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350F69"/>
    <w:rsid w:val="44A567F5"/>
    <w:rsid w:val="45237F18"/>
    <w:rsid w:val="453B1EBC"/>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8EE7231"/>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Id w:val="1"/>
      </w:numPr>
      <w:outlineLvl w:val="4"/>
    </w:pPr>
  </w:style>
  <w:style w:type="paragraph" w:customStyle="1" w:styleId="17">
    <w:name w:val="二级条标题"/>
    <w:basedOn w:val="18"/>
    <w:next w:val="15"/>
    <w:qFormat/>
    <w:uiPriority w:val="0"/>
    <w:pPr>
      <w:numPr>
        <w:ilvl w:val="3"/>
        <w:numId w:val="1"/>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2020-07-10T02:23:36Z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