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 xml:space="preserve">.4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5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日常检查供电线路是否老化，安全用电，工作场所禁止火种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触电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日常检查供电线路是否老化，安全用电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机械伤害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楷体_GB2312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按设备安全操作规程进行操作，加强人员防护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lang w:val="en-GB" w:eastAsia="zh-CN" w:bidi="ar-SA"/>
                    </w:rPr>
                    <w:t>采购部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机械伤害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采购部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如：《物资采购控制程序》、《合格供方评价程序》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吴中区黄泾濮晓明蔬菜摊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923205Q6MA1P8K2458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山东龙大肉食品股份有限公司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肉食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913700007591559056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913700007591559056 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质量符合标准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18"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此外还抽查了：</w:t>
            </w:r>
          </w:p>
          <w:p>
            <w:pPr>
              <w:pStyle w:val="18"/>
              <w:spacing w:line="34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鸡蛋，由东台市正宽禽蛋专业合作社，提供了营业执照、食品经营许可证。</w:t>
            </w:r>
          </w:p>
          <w:p>
            <w:pPr>
              <w:pStyle w:val="18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大米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，盘锦红光米业有限公司，提供营业执照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食品生产许可证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检验报告。</w:t>
            </w:r>
          </w:p>
          <w:p>
            <w:pPr>
              <w:pStyle w:val="18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食用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油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张家港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）粮油工业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提供营业执照、食品生产许可证、检验报告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pStyle w:val="17"/>
              <w:rPr>
                <w:rFonts w:hint="default" w:eastAsia="宋体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24EDE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73F0E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4A1501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62488E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224E40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4D6983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EF312A8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三级条标题"/>
    <w:basedOn w:val="15"/>
    <w:next w:val="13"/>
    <w:qFormat/>
    <w:uiPriority w:val="0"/>
    <w:pPr>
      <w:numPr>
        <w:ilvl w:val="4"/>
        <w:numId w:val="1"/>
      </w:numPr>
      <w:outlineLvl w:val="4"/>
    </w:pPr>
  </w:style>
  <w:style w:type="paragraph" w:customStyle="1" w:styleId="15">
    <w:name w:val="二级条标题"/>
    <w:basedOn w:val="16"/>
    <w:next w:val="13"/>
    <w:qFormat/>
    <w:uiPriority w:val="0"/>
    <w:pPr>
      <w:numPr>
        <w:ilvl w:val="3"/>
        <w:numId w:val="1"/>
      </w:numPr>
      <w:outlineLvl w:val="3"/>
    </w:pPr>
  </w:style>
  <w:style w:type="paragraph" w:customStyle="1" w:styleId="16">
    <w:name w:val="一级条标题"/>
    <w:next w:val="1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8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2020-07-10T02:45:34Z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