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管理部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吴雪柔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岳树亮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cs="Arial"/>
                <w:bCs/>
                <w:sz w:val="21"/>
                <w:szCs w:val="21"/>
              </w:rPr>
              <w:t>6.1.2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6.2/7.2/7.4/7.5/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8.1.2/8.1.3/8.2/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日常检查供电线路是否老化，安全用电，工作场所禁止火种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楷体_GB2312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按设备安全操作规程进行操作，加强人员防护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管理部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200"/>
              <w:gridCol w:w="128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交通意外事故</w:t>
                  </w:r>
                </w:p>
              </w:tc>
              <w:tc>
                <w:tcPr>
                  <w:tcW w:w="32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不足，说明：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6"/>
              <w:tblW w:w="88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336"/>
              <w:gridCol w:w="1099"/>
              <w:gridCol w:w="17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任职要求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学历/专业</w:t>
                  </w:r>
                </w:p>
              </w:tc>
              <w:tc>
                <w:tcPr>
                  <w:tcW w:w="1099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工作经历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刘朦朦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管理部经理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学历：大专及以上文化程度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专业：物流管理</w:t>
                  </w:r>
                </w:p>
              </w:tc>
              <w:tc>
                <w:tcPr>
                  <w:tcW w:w="1099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8年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潘伟强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采购部经理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学历：大专及以上学历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专业：食品、安全相关专业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专业：食品工程</w:t>
                  </w:r>
                </w:p>
              </w:tc>
              <w:tc>
                <w:tcPr>
                  <w:tcW w:w="1099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吴雪柔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销售部经理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学历：大专及以上学历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专业：食品、安全相关专业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工作经历：2 年以上工作经验</w:t>
                  </w:r>
                </w:p>
              </w:tc>
              <w:tc>
                <w:tcPr>
                  <w:tcW w:w="1336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学历：本科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专业：食品工程</w:t>
                  </w:r>
                </w:p>
              </w:tc>
              <w:tc>
                <w:tcPr>
                  <w:tcW w:w="1099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暂无计划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616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职业健康安全</w:t>
                  </w:r>
                  <w:r>
                    <w:rPr>
                      <w:rFonts w:hint="eastAsia" w:ascii="宋体"/>
                      <w:lang w:val="zh-CN"/>
                    </w:rPr>
                    <w:t>相关知识、法律法规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2020年4月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 w:ascii="宋体"/>
                      <w:lang w:val="zh-CN"/>
                    </w:rPr>
                    <w:t>检验技能、规范、计量知识</w:t>
                  </w:r>
                </w:p>
              </w:tc>
              <w:tc>
                <w:tcPr>
                  <w:tcW w:w="1647" w:type="dxa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1263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特种设备作业人员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无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低压电工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陈亮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T320586198009247412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潘伟强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320524197805057413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熊兴惠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320586198207171611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的情况（体系运行以来，无新入职员工）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入职新员工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无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4"/>
              <w:gridCol w:w="1270"/>
              <w:gridCol w:w="2538"/>
              <w:gridCol w:w="1166"/>
              <w:gridCol w:w="141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2020-04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安全检查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越溪街道管委会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管理部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144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2020-4-1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体检</w:t>
                  </w:r>
                </w:p>
              </w:tc>
              <w:tc>
                <w:tcPr>
                  <w:tcW w:w="253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u w:val="none"/>
                      <w:lang w:val="en-US" w:eastAsia="zh-CN"/>
                    </w:rPr>
                    <w:t>苏州市吴中区横泾卫生院</w:t>
                  </w:r>
                </w:p>
              </w:tc>
              <w:tc>
                <w:tcPr>
                  <w:tcW w:w="116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外出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体检合格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2020-01-20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安全问题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部门经理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每周办公例会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2020-03-20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安全问题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操作人员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班前会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"/>
              <w:gridCol w:w="1609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4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09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2018-12-1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6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1"/>
              <w:gridCol w:w="1745"/>
              <w:gridCol w:w="1172"/>
              <w:gridCol w:w="1218"/>
              <w:gridCol w:w="1810"/>
              <w:gridCol w:w="1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2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79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GB 18218-2018危险化学品重大危险源辨识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刘朦朦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劳动防护用品管理规定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刘朦朦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2020-04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刘朦朦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278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6"/>
              <w:tblW w:w="89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2"/>
              <w:gridCol w:w="1684"/>
              <w:gridCol w:w="1099"/>
              <w:gridCol w:w="1218"/>
              <w:gridCol w:w="1542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基础设施一览表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设备维护保养记录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环境和职业健康安全运行控制管理程序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6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《环境和职业健康安全监视和测量控制程序》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《日常检查记录 》，每月管理部检查一次，每周车间负责人检查，均有记录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体检报告：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在职员工（定期）：潘治强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</w:rPr>
              <w:t>健康</w:t>
            </w:r>
            <w:r>
              <w:rPr>
                <w:rFonts w:hint="eastAsia"/>
                <w:color w:val="auto"/>
                <w:szCs w:val="18"/>
                <w:lang w:eastAsia="zh-CN"/>
              </w:rPr>
              <w:t>证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苏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32050622120000265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2020年4月1日 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 xml:space="preserve">   资质证书编号：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包括：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在职员工（定期）：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张庆华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Cs w:val="18"/>
                <w:u w:val="none"/>
                <w:lang w:val="en-US" w:eastAsia="zh-CN"/>
              </w:rPr>
              <w:t>健康证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苏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32050622120000270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号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2020年4月1日 </w:t>
            </w:r>
          </w:p>
          <w:p>
            <w:pPr>
              <w:ind w:firstLine="210" w:firstLineChars="100"/>
              <w:rPr>
                <w:rFonts w:hint="default"/>
                <w:color w:val="auto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none"/>
                <w:lang w:val="en-US" w:eastAsia="zh-CN"/>
              </w:rPr>
              <w:t xml:space="preserve">    资质证书编号：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包括：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无职业危害禁忌证或职业病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，结论：    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电气防火检测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，结论：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防雷防静电检测报告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，结论：     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江苏省工伤保险条例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2020-1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名内审员；有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管理层、供销部、配送部、质检部、管理部....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未发生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DC6D1E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D479C4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3653F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C43B15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B28F9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D71EB0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7752EA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535835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C014E9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4FE784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E842F6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396F84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887DC7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763028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2020-07-10T02:27:39Z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