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93"/>
        <w:gridCol w:w="1063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2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质检部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刘朦朦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993" w:type="dxa"/>
            <w:vMerge w:val="continue"/>
            <w:vAlign w:val="center"/>
          </w:tcPr>
          <w:p/>
        </w:tc>
        <w:tc>
          <w:tcPr>
            <w:tcW w:w="10322" w:type="dxa"/>
            <w:gridSpan w:val="2"/>
            <w:vAlign w:val="center"/>
          </w:tcPr>
          <w:p>
            <w:pPr>
              <w:spacing w:before="120"/>
              <w:rPr>
                <w:color w:val="000000" w:themeColor="text1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eastAsia="zh-CN"/>
              </w:rPr>
              <w:t>张磊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（现场）</w:t>
            </w:r>
            <w:r>
              <w:rPr>
                <w:color w:val="000000" w:themeColor="text1"/>
                <w:sz w:val="24"/>
                <w:szCs w:val="24"/>
              </w:rPr>
              <w:t xml:space="preserve"> 李青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远程）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审核日期： 2020年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993" w:type="dxa"/>
            <w:vMerge w:val="continue"/>
            <w:vAlign w:val="center"/>
          </w:tcPr>
          <w:p/>
        </w:tc>
        <w:tc>
          <w:tcPr>
            <w:tcW w:w="10322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cs="Arial"/>
                <w:sz w:val="22"/>
                <w:szCs w:val="22"/>
              </w:rPr>
              <w:t xml:space="preserve">6.1.2 </w:t>
            </w:r>
            <w:r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hint="eastAsia" w:cs="Arial"/>
                <w:sz w:val="22"/>
                <w:szCs w:val="22"/>
              </w:rPr>
              <w:t xml:space="preserve"> 6.2 </w:t>
            </w:r>
            <w:r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hint="eastAsia" w:cs="Arial"/>
                <w:sz w:val="22"/>
                <w:szCs w:val="22"/>
              </w:rPr>
              <w:t xml:space="preserve">8.1 </w:t>
            </w:r>
            <w:r>
              <w:rPr>
                <w:rFonts w:cs="Arial"/>
                <w:sz w:val="22"/>
                <w:szCs w:val="22"/>
              </w:rPr>
              <w:t xml:space="preserve">      </w:t>
            </w:r>
            <w:r>
              <w:rPr>
                <w:rFonts w:hint="eastAsia" w:cs="Arial"/>
                <w:sz w:val="22"/>
                <w:szCs w:val="22"/>
              </w:rPr>
              <w:t xml:space="preserve">8.2  </w:t>
            </w:r>
            <w:r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hint="eastAsia" w:cs="Arial"/>
                <w:sz w:val="22"/>
                <w:szCs w:val="22"/>
              </w:rPr>
              <w:t>9.1.1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09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93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E6.1.2 </w:t>
            </w:r>
          </w:p>
        </w:tc>
        <w:tc>
          <w:tcPr>
            <w:tcW w:w="106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如：手册第6.1.2条款、《</w:t>
            </w:r>
            <w:r>
              <w:rPr>
                <w:rFonts w:hint="eastAsia"/>
                <w:color w:val="000000"/>
                <w:szCs w:val="21"/>
              </w:rPr>
              <w:t>环境因素识别、评价与更新程序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，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809" w:type="dxa"/>
            <w:vMerge w:val="continue"/>
          </w:tcPr>
          <w:p/>
        </w:tc>
        <w:tc>
          <w:tcPr>
            <w:tcW w:w="993" w:type="dxa"/>
            <w:vMerge w:val="continue"/>
          </w:tcPr>
          <w:p/>
        </w:tc>
        <w:tc>
          <w:tcPr>
            <w:tcW w:w="106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与部门职责相关的主要环境因素及其控制措施是：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94"/>
              <w:gridCol w:w="2458"/>
              <w:gridCol w:w="31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18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45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状态</w:t>
                  </w:r>
                </w:p>
              </w:tc>
              <w:tc>
                <w:tcPr>
                  <w:tcW w:w="3159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9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公司电耗</w:t>
                  </w:r>
                </w:p>
              </w:tc>
              <w:tc>
                <w:tcPr>
                  <w:tcW w:w="2458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315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制定资源、能源控制程序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9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公司水耗</w:t>
                  </w:r>
                </w:p>
              </w:tc>
              <w:tc>
                <w:tcPr>
                  <w:tcW w:w="2458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t xml:space="preserve">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315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制定资源、能源控制程序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9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固体废弃物排放</w:t>
                  </w:r>
                </w:p>
              </w:tc>
              <w:tc>
                <w:tcPr>
                  <w:tcW w:w="2458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t xml:space="preserve">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3159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制定环境目标、指标管理方案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9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意外火灾的发生</w:t>
                  </w:r>
                </w:p>
              </w:tc>
              <w:tc>
                <w:tcPr>
                  <w:tcW w:w="2458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t xml:space="preserve">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3159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制定环境目标、指标管理方案</w:t>
                  </w:r>
                </w:p>
              </w:tc>
            </w:tr>
          </w:tbl>
          <w:p/>
          <w:p>
            <w:pPr>
              <w:pStyle w:val="2"/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09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环境目标</w:t>
            </w:r>
          </w:p>
          <w:p/>
        </w:tc>
        <w:tc>
          <w:tcPr>
            <w:tcW w:w="993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E6.2 </w:t>
            </w:r>
          </w:p>
          <w:p>
            <w:r>
              <w:rPr>
                <w:rFonts w:hint="eastAsia"/>
                <w:color w:val="000000"/>
                <w:szCs w:val="21"/>
              </w:rPr>
              <w:t> </w:t>
            </w:r>
          </w:p>
        </w:tc>
        <w:tc>
          <w:tcPr>
            <w:tcW w:w="106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</w:rPr>
              <w:t>环境目标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t xml:space="preserve"> </w:t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Merge w:val="continue"/>
          </w:tcPr>
          <w:p/>
        </w:tc>
        <w:tc>
          <w:tcPr>
            <w:tcW w:w="993" w:type="dxa"/>
            <w:vMerge w:val="continue"/>
          </w:tcPr>
          <w:p/>
        </w:tc>
        <w:tc>
          <w:tcPr>
            <w:tcW w:w="106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本部门的分解环境目标实现情况的评价，及其测量方法是：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60"/>
              <w:gridCol w:w="2667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6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环境目标</w:t>
                  </w:r>
                </w:p>
              </w:tc>
              <w:tc>
                <w:tcPr>
                  <w:tcW w:w="266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环境控制参数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0" w:type="dxa"/>
                  <w:shd w:val="clear" w:color="auto" w:fill="auto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a)固体废弃物分类收集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</w:p>
              </w:tc>
              <w:tc>
                <w:tcPr>
                  <w:tcW w:w="266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GB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cs="Times New Roman"/>
                      <w:szCs w:val="22"/>
                      <w:lang w:val="en-US" w:eastAsia="zh-CN"/>
                    </w:rPr>
                    <w:t>质检部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GB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0" w:type="dxa"/>
                  <w:shd w:val="clear" w:color="auto" w:fill="auto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b)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控制潜在的火灾和爆炸事故为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</w:p>
              </w:tc>
              <w:tc>
                <w:tcPr>
                  <w:tcW w:w="266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0；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eastAsia" w:cs="Times New Roman"/>
                      <w:szCs w:val="22"/>
                      <w:lang w:val="en-US" w:eastAsia="zh-CN"/>
                    </w:rPr>
                    <w:t>质检部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0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09" w:type="dxa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93" w:type="dxa"/>
            <w:vMerge w:val="restart"/>
          </w:tcPr>
          <w:p>
            <w:r>
              <w:rPr>
                <w:rFonts w:hint="eastAsia"/>
              </w:rPr>
              <w:t>E8.2</w:t>
            </w:r>
          </w:p>
        </w:tc>
        <w:tc>
          <w:tcPr>
            <w:tcW w:w="106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《消防应急预案》</w:t>
            </w:r>
          </w:p>
          <w:p/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809" w:type="dxa"/>
            <w:vMerge w:val="continue"/>
          </w:tcPr>
          <w:p/>
        </w:tc>
        <w:tc>
          <w:tcPr>
            <w:tcW w:w="993" w:type="dxa"/>
            <w:vMerge w:val="continue"/>
          </w:tcPr>
          <w:p/>
        </w:tc>
        <w:tc>
          <w:tcPr>
            <w:tcW w:w="106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消防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2020年5月5日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消防知识教育及应急模拟火灾消防演练记录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809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运行</w:t>
            </w:r>
          </w:p>
        </w:tc>
        <w:tc>
          <w:tcPr>
            <w:tcW w:w="993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E8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如：《环境和职业健康安全运行控制管理程序》，管理手册8.1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809" w:type="dxa"/>
            <w:vMerge w:val="continue"/>
          </w:tcPr>
          <w:p/>
        </w:tc>
        <w:tc>
          <w:tcPr>
            <w:tcW w:w="993" w:type="dxa"/>
            <w:vMerge w:val="continue"/>
          </w:tcPr>
          <w:p/>
        </w:tc>
        <w:tc>
          <w:tcPr>
            <w:tcW w:w="106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化学品库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化学品柜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化学品防护性要求：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防潮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防日晒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湿度  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保存期限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标识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防漏托盘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地面防渗层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灭火器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储存温湿度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保护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是否有MSDS：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809" w:type="dxa"/>
            <w:vMerge w:val="continue"/>
          </w:tcPr>
          <w:p/>
        </w:tc>
        <w:tc>
          <w:tcPr>
            <w:tcW w:w="993" w:type="dxa"/>
            <w:vMerge w:val="continue"/>
          </w:tcPr>
          <w:p/>
        </w:tc>
        <w:tc>
          <w:tcPr>
            <w:tcW w:w="106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对剧毒品的管理：（适用时）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化学品库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化学品柜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部分原料，半成品，成品是剧毒物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目前的剧毒品名称：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五双管理：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双人入库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双人领用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双账簿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双锁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双人出库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抽查化学品名称：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防渗漏措施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809" w:type="dxa"/>
            <w:vMerge w:val="continue"/>
          </w:tcPr>
          <w:p/>
        </w:tc>
        <w:tc>
          <w:tcPr>
            <w:tcW w:w="993" w:type="dxa"/>
            <w:vMerge w:val="continue"/>
          </w:tcPr>
          <w:p/>
        </w:tc>
        <w:tc>
          <w:tcPr>
            <w:tcW w:w="106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查看实验室的现场管理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废液和固废，集中处理，交给街道管委会统一处理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09" w:type="dxa"/>
            <w:vMerge w:val="restart"/>
          </w:tcPr>
          <w:p>
            <w:r>
              <w:rPr>
                <w:rFonts w:hint="eastAsia"/>
              </w:rPr>
              <w:t>监视、测量、分析和评价</w:t>
            </w:r>
          </w:p>
        </w:tc>
        <w:tc>
          <w:tcPr>
            <w:tcW w:w="993" w:type="dxa"/>
            <w:vMerge w:val="restart"/>
          </w:tcPr>
          <w:p>
            <w:r>
              <w:rPr>
                <w:rFonts w:hint="eastAsia"/>
              </w:rPr>
              <w:t>E9.1.1</w:t>
            </w:r>
          </w:p>
        </w:tc>
        <w:tc>
          <w:tcPr>
            <w:tcW w:w="106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如：《环境和职业健康安全监视和测量控制程序》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809" w:type="dxa"/>
            <w:vMerge w:val="continue"/>
          </w:tcPr>
          <w:p/>
        </w:tc>
        <w:tc>
          <w:tcPr>
            <w:tcW w:w="993" w:type="dxa"/>
            <w:vMerge w:val="continue"/>
          </w:tcPr>
          <w:p/>
        </w:tc>
        <w:tc>
          <w:tcPr>
            <w:tcW w:w="106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监视、测量、分析和评价的内容：</w:t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能源消耗  </w:t>
            </w:r>
            <w:r>
              <w:rPr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污染物浓度  </w:t>
            </w: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 xml:space="preserve">持证上岗人员管理   </w:t>
            </w:r>
            <w:r>
              <w:rPr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废物回收 </w:t>
            </w: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 xml:space="preserve">污染物处理监控  </w:t>
            </w: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其他</w:t>
            </w:r>
          </w:p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生活废水</w:t>
            </w:r>
            <w:r>
              <w:rPr>
                <w:rFonts w:hint="eastAsia"/>
                <w:color w:val="000000" w:themeColor="text1"/>
                <w:lang w:val="en-US" w:eastAsia="zh-CN"/>
              </w:rPr>
              <w:t>过滤后</w:t>
            </w:r>
            <w:r>
              <w:rPr>
                <w:rFonts w:hint="eastAsia"/>
                <w:color w:val="000000" w:themeColor="text1"/>
              </w:rPr>
              <w:t>排入污水</w:t>
            </w:r>
            <w:r>
              <w:rPr>
                <w:color w:val="000000" w:themeColor="text1"/>
              </w:rPr>
              <w:t>管道；固体废弃物直接</w:t>
            </w:r>
            <w:r>
              <w:rPr>
                <w:rFonts w:hint="eastAsia"/>
                <w:color w:val="000000" w:themeColor="text1"/>
              </w:rPr>
              <w:t>放入</w:t>
            </w:r>
            <w:r>
              <w:rPr>
                <w:color w:val="000000" w:themeColor="text1"/>
              </w:rPr>
              <w:t>生活垃圾由环卫工</w:t>
            </w:r>
            <w:r>
              <w:rPr>
                <w:rFonts w:hint="eastAsia"/>
                <w:color w:val="000000" w:themeColor="text1"/>
              </w:rPr>
              <w:t>拉走</w:t>
            </w:r>
            <w:r>
              <w:rPr>
                <w:color w:val="000000" w:themeColor="text1"/>
              </w:rPr>
              <w:t>。</w:t>
            </w:r>
          </w:p>
          <w:p/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抽取监视、测量、分析和评价相关记录名称：</w:t>
            </w:r>
            <w:r>
              <w:rPr>
                <w:rFonts w:hint="eastAsia"/>
                <w:color w:val="000000" w:themeColor="text1"/>
                <w:lang w:val="en-US" w:eastAsia="zh-CN"/>
              </w:rPr>
              <w:t>《环境管理巡查表》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检查项目</w:t>
            </w:r>
            <w:r>
              <w:rPr>
                <w:rFonts w:hint="eastAsia"/>
                <w:lang w:eastAsia="zh-CN"/>
              </w:rPr>
              <w:t>：可回收废弃物</w:t>
            </w:r>
            <w:r>
              <w:rPr>
                <w:rFonts w:hint="eastAsia"/>
                <w:lang w:val="en-US" w:eastAsia="zh-CN"/>
              </w:rPr>
              <w:t>搜集，环卫部门处理、清运等等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</w:rPr>
              <w:t>污染物种类</w:t>
            </w:r>
            <w:r>
              <w:rPr>
                <w:rFonts w:hint="eastAsia"/>
                <w:color w:val="000000"/>
              </w:rPr>
              <w:t>包括：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固体废弃物</w:t>
            </w: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809" w:type="dxa"/>
            <w:vMerge w:val="restart"/>
          </w:tcPr>
          <w:p>
            <w:r>
              <w:rPr>
                <w:rFonts w:hint="eastAsia"/>
              </w:rPr>
              <w:t>监视和测量设备</w:t>
            </w:r>
          </w:p>
        </w:tc>
        <w:tc>
          <w:tcPr>
            <w:tcW w:w="993" w:type="dxa"/>
            <w:vMerge w:val="restart"/>
          </w:tcPr>
          <w:p>
            <w:r>
              <w:rPr>
                <w:rFonts w:hint="eastAsia"/>
              </w:rPr>
              <w:t>E9.1.1</w:t>
            </w:r>
          </w:p>
        </w:tc>
        <w:tc>
          <w:tcPr>
            <w:tcW w:w="106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如：《监测装置控制程序》、手册第9.1.1条款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809" w:type="dxa"/>
            <w:vMerge w:val="continue"/>
          </w:tcPr>
          <w:p/>
        </w:tc>
        <w:tc>
          <w:tcPr>
            <w:tcW w:w="993" w:type="dxa"/>
            <w:vMerge w:val="continue"/>
          </w:tcPr>
          <w:p/>
        </w:tc>
        <w:tc>
          <w:tcPr>
            <w:tcW w:w="106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/>
          <w:p>
            <w:r>
              <w:rPr>
                <w:rFonts w:hint="eastAsia"/>
              </w:rPr>
              <w:t>无</w:t>
            </w:r>
          </w:p>
          <w:p/>
          <w:tbl>
            <w:tblPr>
              <w:tblStyle w:val="7"/>
              <w:tblW w:w="691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</w:tbl>
          <w:p/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370"/>
    <w:rsid w:val="00062E46"/>
    <w:rsid w:val="000C1E6A"/>
    <w:rsid w:val="000E6B21"/>
    <w:rsid w:val="001A2D7F"/>
    <w:rsid w:val="001B05A4"/>
    <w:rsid w:val="00245FE2"/>
    <w:rsid w:val="00255327"/>
    <w:rsid w:val="002939AD"/>
    <w:rsid w:val="002E4CD4"/>
    <w:rsid w:val="00314AF6"/>
    <w:rsid w:val="00337922"/>
    <w:rsid w:val="00340867"/>
    <w:rsid w:val="00380837"/>
    <w:rsid w:val="003A198A"/>
    <w:rsid w:val="00410914"/>
    <w:rsid w:val="004177C7"/>
    <w:rsid w:val="0044426D"/>
    <w:rsid w:val="0048201E"/>
    <w:rsid w:val="004D4281"/>
    <w:rsid w:val="00536930"/>
    <w:rsid w:val="0055471B"/>
    <w:rsid w:val="00564E53"/>
    <w:rsid w:val="005C36D3"/>
    <w:rsid w:val="005D5659"/>
    <w:rsid w:val="005E37D7"/>
    <w:rsid w:val="00600C20"/>
    <w:rsid w:val="00644FE2"/>
    <w:rsid w:val="0067640C"/>
    <w:rsid w:val="006E678B"/>
    <w:rsid w:val="006E7B1D"/>
    <w:rsid w:val="007623E6"/>
    <w:rsid w:val="007757F3"/>
    <w:rsid w:val="00791FED"/>
    <w:rsid w:val="007C1B48"/>
    <w:rsid w:val="007E3B15"/>
    <w:rsid w:val="007E6AEB"/>
    <w:rsid w:val="008973EE"/>
    <w:rsid w:val="008A6048"/>
    <w:rsid w:val="00971600"/>
    <w:rsid w:val="009973B4"/>
    <w:rsid w:val="009C28C1"/>
    <w:rsid w:val="009F7EED"/>
    <w:rsid w:val="00A80636"/>
    <w:rsid w:val="00AF0AAB"/>
    <w:rsid w:val="00B3326E"/>
    <w:rsid w:val="00B93107"/>
    <w:rsid w:val="00BF597E"/>
    <w:rsid w:val="00C51A36"/>
    <w:rsid w:val="00C55228"/>
    <w:rsid w:val="00C63768"/>
    <w:rsid w:val="00CE315A"/>
    <w:rsid w:val="00D06F59"/>
    <w:rsid w:val="00D8388C"/>
    <w:rsid w:val="00E6224C"/>
    <w:rsid w:val="00E92E70"/>
    <w:rsid w:val="00EB0164"/>
    <w:rsid w:val="00ED0F62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8527C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E09EE"/>
    <w:rsid w:val="0A0F142E"/>
    <w:rsid w:val="0A1C56C1"/>
    <w:rsid w:val="0A2F1B8E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173894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77228F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670294"/>
    <w:rsid w:val="21A07B88"/>
    <w:rsid w:val="21A34258"/>
    <w:rsid w:val="21D24208"/>
    <w:rsid w:val="226B2F60"/>
    <w:rsid w:val="22813299"/>
    <w:rsid w:val="229F2D1A"/>
    <w:rsid w:val="22C14393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AE0926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119F7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F92D63"/>
    <w:rsid w:val="35527F1F"/>
    <w:rsid w:val="357914C0"/>
    <w:rsid w:val="35994264"/>
    <w:rsid w:val="35A844EB"/>
    <w:rsid w:val="35D721CD"/>
    <w:rsid w:val="36174333"/>
    <w:rsid w:val="3623081B"/>
    <w:rsid w:val="362B5212"/>
    <w:rsid w:val="364A3F09"/>
    <w:rsid w:val="367A501B"/>
    <w:rsid w:val="36C91110"/>
    <w:rsid w:val="372D3763"/>
    <w:rsid w:val="37573DB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867E37"/>
    <w:rsid w:val="44A567F5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4A3AEB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4828D7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43D46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04E0B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0973DA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31401C"/>
    <w:rsid w:val="60596F8D"/>
    <w:rsid w:val="608075E1"/>
    <w:rsid w:val="60E47C4C"/>
    <w:rsid w:val="61326FB1"/>
    <w:rsid w:val="61384C31"/>
    <w:rsid w:val="61744854"/>
    <w:rsid w:val="61857CB5"/>
    <w:rsid w:val="61E77A7E"/>
    <w:rsid w:val="622A4138"/>
    <w:rsid w:val="62385483"/>
    <w:rsid w:val="62385A6C"/>
    <w:rsid w:val="625901DA"/>
    <w:rsid w:val="62876D77"/>
    <w:rsid w:val="62C55821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118B2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2E6943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211</Words>
  <Characters>1204</Characters>
  <Lines>10</Lines>
  <Paragraphs>2</Paragraphs>
  <TotalTime>0</TotalTime>
  <ScaleCrop>false</ScaleCrop>
  <LinksUpToDate>false</LinksUpToDate>
  <CharactersWithSpaces>1413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2020-07-10T02:48:21Z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