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2"/>
          <w:szCs w:val="32"/>
        </w:rPr>
        <w:t>江西亚东实业有限公司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2017-N1QMS-1219448</w:t>
            </w:r>
          </w:p>
          <w:p>
            <w:pPr>
              <w:jc w:val="center"/>
              <w:rPr>
                <w:b/>
                <w:sz w:val="21"/>
                <w:szCs w:val="21"/>
              </w:rPr>
            </w:pPr>
            <w:r>
              <w:rPr>
                <w:b/>
                <w:sz w:val="21"/>
                <w:szCs w:val="21"/>
              </w:rPr>
              <w:t>2017-N1EMS-1219448</w:t>
            </w:r>
          </w:p>
          <w:p>
            <w:pPr>
              <w:jc w:val="center"/>
              <w:rPr>
                <w:b/>
                <w:sz w:val="21"/>
                <w:szCs w:val="21"/>
              </w:rPr>
            </w:pPr>
            <w:r>
              <w:rPr>
                <w:b/>
                <w:sz w:val="21"/>
                <w:szCs w:val="21"/>
              </w:rPr>
              <w:t>2018-N1OHSMS-1219448</w:t>
            </w:r>
          </w:p>
        </w:tc>
        <w:tc>
          <w:tcPr>
            <w:tcW w:w="1728" w:type="dxa"/>
            <w:gridSpan w:val="2"/>
            <w:vAlign w:val="center"/>
          </w:tcPr>
          <w:p>
            <w:pPr>
              <w:jc w:val="center"/>
              <w:rPr>
                <w:b/>
                <w:sz w:val="21"/>
                <w:szCs w:val="21"/>
              </w:rPr>
            </w:pPr>
            <w:r>
              <w:rPr>
                <w:b/>
                <w:sz w:val="21"/>
                <w:szCs w:val="21"/>
              </w:rPr>
              <w:t>Q:29.10.07</w:t>
            </w:r>
          </w:p>
          <w:p>
            <w:pPr>
              <w:jc w:val="center"/>
              <w:rPr>
                <w:b/>
                <w:sz w:val="21"/>
                <w:szCs w:val="21"/>
              </w:rPr>
            </w:pPr>
            <w:r>
              <w:rPr>
                <w:b/>
                <w:sz w:val="21"/>
                <w:szCs w:val="21"/>
              </w:rPr>
              <w:t>E:29.10.07</w:t>
            </w:r>
          </w:p>
          <w:p>
            <w:pPr>
              <w:jc w:val="center"/>
              <w:rPr>
                <w:b/>
                <w:sz w:val="21"/>
                <w:szCs w:val="21"/>
              </w:rPr>
            </w:pPr>
            <w:r>
              <w:rPr>
                <w:b/>
                <w:sz w:val="21"/>
                <w:szCs w:val="21"/>
              </w:rPr>
              <w:t>O:29.10.07</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文波</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O:实习审核员</w:t>
            </w:r>
          </w:p>
        </w:tc>
        <w:tc>
          <w:tcPr>
            <w:tcW w:w="1699" w:type="dxa"/>
            <w:vAlign w:val="center"/>
          </w:tcPr>
          <w:p>
            <w:pPr>
              <w:jc w:val="center"/>
              <w:rPr>
                <w:b/>
                <w:sz w:val="21"/>
                <w:szCs w:val="21"/>
              </w:rPr>
            </w:pPr>
            <w:r>
              <w:rPr>
                <w:b/>
                <w:sz w:val="21"/>
                <w:szCs w:val="21"/>
              </w:rPr>
              <w:t>2019-N1QMS-1257737</w:t>
            </w:r>
          </w:p>
          <w:p>
            <w:pPr>
              <w:jc w:val="center"/>
              <w:rPr>
                <w:b/>
                <w:sz w:val="21"/>
                <w:szCs w:val="21"/>
              </w:rPr>
            </w:pPr>
            <w:r>
              <w:rPr>
                <w:b/>
                <w:sz w:val="21"/>
                <w:szCs w:val="21"/>
              </w:rPr>
              <w:t>2019-N1EMS-1257737</w:t>
            </w:r>
          </w:p>
          <w:p>
            <w:pPr>
              <w:jc w:val="center"/>
              <w:rPr>
                <w:b/>
                <w:sz w:val="21"/>
                <w:szCs w:val="21"/>
              </w:rPr>
            </w:pPr>
            <w:r>
              <w:rPr>
                <w:b/>
                <w:sz w:val="21"/>
                <w:szCs w:val="21"/>
              </w:rPr>
              <w:t>2020-N0OHSMS-1257737</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江西亚东实业有限公司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江西省南昌市红谷滩新区红谷中大道1376号办公楼1423室（第14层）</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330000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江西省南昌市红谷滩新区红谷中大道1376号办公楼1423室（第14层）</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330000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江西省南昌市红谷滩新区红谷中大道1376号办公楼1423室（第14层）</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330000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胡琴琴</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0791-88621696</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胡琴琴</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胡朋</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w:t>
            </w:r>
            <w:r>
              <w:rPr>
                <w:rFonts w:hint="eastAsia" w:ascii="宋体" w:hAnsi="宋体"/>
                <w:b/>
                <w:sz w:val="21"/>
                <w:szCs w:val="21"/>
                <w:lang w:val="en-US" w:eastAsia="zh-CN"/>
              </w:rPr>
              <w:t>7</w:t>
            </w:r>
            <w:r>
              <w:rPr>
                <w:rFonts w:ascii="宋体" w:hAnsi="宋体"/>
                <w:b/>
                <w:sz w:val="21"/>
                <w:szCs w:val="21"/>
              </w:rPr>
              <w:t>月</w:t>
            </w:r>
            <w:r>
              <w:rPr>
                <w:rFonts w:hint="eastAsia" w:ascii="宋体" w:hAnsi="宋体"/>
                <w:b/>
                <w:sz w:val="21"/>
                <w:szCs w:val="21"/>
                <w:lang w:val="en-US" w:eastAsia="zh-CN"/>
              </w:rPr>
              <w:t>8</w:t>
            </w:r>
            <w:r>
              <w:rPr>
                <w:rFonts w:ascii="宋体" w:hAnsi="宋体"/>
                <w:b/>
                <w:sz w:val="21"/>
                <w:szCs w:val="21"/>
              </w:rPr>
              <w:t xml:space="preserve">日 </w:t>
            </w:r>
            <w:r>
              <w:rPr>
                <w:rFonts w:hint="eastAsia" w:ascii="宋体" w:hAnsi="宋体"/>
                <w:b/>
                <w:sz w:val="21"/>
                <w:szCs w:val="21"/>
                <w:lang w:val="en-US" w:eastAsia="zh-CN"/>
              </w:rPr>
              <w:t>下</w:t>
            </w:r>
            <w:r>
              <w:rPr>
                <w:rFonts w:ascii="宋体" w:hAnsi="宋体"/>
                <w:b/>
                <w:sz w:val="21"/>
                <w:szCs w:val="21"/>
              </w:rPr>
              <w:t>午至2020年</w:t>
            </w:r>
            <w:r>
              <w:rPr>
                <w:rFonts w:hint="eastAsia" w:ascii="宋体" w:hAnsi="宋体"/>
                <w:b/>
                <w:sz w:val="21"/>
                <w:szCs w:val="21"/>
                <w:lang w:val="en-US" w:eastAsia="zh-CN"/>
              </w:rPr>
              <w:t>7</w:t>
            </w:r>
            <w:r>
              <w:rPr>
                <w:rFonts w:ascii="宋体" w:hAnsi="宋体"/>
                <w:b/>
                <w:sz w:val="21"/>
                <w:szCs w:val="21"/>
              </w:rPr>
              <w:t>月</w:t>
            </w:r>
            <w:r>
              <w:rPr>
                <w:rFonts w:hint="eastAsia" w:ascii="宋体" w:hAnsi="宋体"/>
                <w:b/>
                <w:sz w:val="21"/>
                <w:szCs w:val="21"/>
                <w:lang w:val="en-US" w:eastAsia="zh-CN"/>
              </w:rPr>
              <w:t>8</w:t>
            </w:r>
            <w:r>
              <w:rPr>
                <w:rFonts w:ascii="宋体" w:hAnsi="宋体"/>
                <w:b/>
                <w:sz w:val="21"/>
                <w:szCs w:val="21"/>
              </w:rPr>
              <w:t xml:space="preserve">日 </w:t>
            </w:r>
            <w:r>
              <w:rPr>
                <w:rFonts w:hint="eastAsia" w:ascii="宋体" w:hAnsi="宋体"/>
                <w:b/>
                <w:sz w:val="21"/>
                <w:szCs w:val="21"/>
                <w:lang w:val="en-US" w:eastAsia="zh-CN"/>
              </w:rPr>
              <w:t>下</w:t>
            </w:r>
            <w:r>
              <w:rPr>
                <w:rFonts w:ascii="宋体" w:hAnsi="宋体"/>
                <w:b/>
                <w:sz w:val="21"/>
                <w:szCs w:val="21"/>
              </w:rPr>
              <w:t>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r>
              <w:rPr>
                <w:sz w:val="20"/>
              </w:rPr>
              <w:t>服装机械设备及零配件的销售</w:t>
            </w:r>
          </w:p>
          <w:p>
            <w:pPr>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服装机械设备及零配件的销售及其所涉及场所的相关环境管理活动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服装机械设备及零配件的销售及其所涉及场所的职业健康安全管理体系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Q：29.10.07</w:t>
            </w:r>
          </w:p>
          <w:p>
            <w:pPr>
              <w:spacing w:line="260" w:lineRule="exact"/>
              <w:rPr>
                <w:rFonts w:ascii="宋体" w:hAnsi="宋体"/>
                <w:b/>
                <w:sz w:val="21"/>
                <w:szCs w:val="21"/>
              </w:rPr>
            </w:pPr>
            <w:r>
              <w:rPr>
                <w:rFonts w:ascii="宋体" w:hAnsi="宋体"/>
                <w:b/>
                <w:sz w:val="21"/>
                <w:szCs w:val="21"/>
              </w:rPr>
              <w:t>E：29.10.07</w:t>
            </w:r>
          </w:p>
          <w:p>
            <w:pPr>
              <w:spacing w:line="260" w:lineRule="exact"/>
              <w:rPr>
                <w:rFonts w:ascii="宋体" w:hAnsi="宋体"/>
                <w:b/>
                <w:sz w:val="21"/>
                <w:szCs w:val="21"/>
              </w:rPr>
            </w:pPr>
            <w:r>
              <w:rPr>
                <w:rFonts w:ascii="宋体" w:hAnsi="宋体"/>
                <w:b/>
                <w:sz w:val="21"/>
                <w:szCs w:val="21"/>
              </w:rPr>
              <w:t>O：29.10.07</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color w:val="auto"/>
                <w:sz w:val="21"/>
                <w:szCs w:val="21"/>
                <w:lang w:val="en-US" w:eastAsia="zh-CN"/>
              </w:rPr>
              <w:t>2022年5月8日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color w:val="auto"/>
                <w:sz w:val="21"/>
                <w:lang w:val="en-US" w:eastAsia="zh-CN"/>
              </w:rPr>
              <w:t>2019年5月2-5日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ind w:firstLine="480"/>
              <w:jc w:val="left"/>
              <w:rPr>
                <w:rFonts w:ascii="宋体"/>
                <w:sz w:val="20"/>
                <w:szCs w:val="20"/>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sz w:val="20"/>
                <w:szCs w:val="20"/>
              </w:rPr>
              <w:t>公司确定与目标和战略方向相关并影响公司实现三标一体化管理体系预期结果的各种外部和内部因素（问题），这些问题包括受公司影响的或能够影响公司的环境状况；并对这些内部和外部因素的相关信息进行监视和评审。</w:t>
            </w:r>
          </w:p>
          <w:p>
            <w:pPr>
              <w:spacing w:line="360" w:lineRule="auto"/>
              <w:ind w:firstLine="480"/>
              <w:jc w:val="left"/>
              <w:rPr>
                <w:rFonts w:ascii="宋体"/>
                <w:sz w:val="20"/>
                <w:szCs w:val="20"/>
              </w:rPr>
            </w:pPr>
            <w:r>
              <w:rPr>
                <w:rFonts w:hint="eastAsia" w:ascii="宋体" w:hAnsi="宋体"/>
                <w:sz w:val="20"/>
                <w:szCs w:val="20"/>
              </w:rPr>
              <w:t>内部因素包括公司的总体表现（如财务因素）、资源因素（如基础设施、过程运行环境、公司的知识）、人力因素（如人员能力、公司文化、工会谈判和协议）、运营因素（如过程、销售或交付能力、质量管理体系绩效、顾客评价）、组织治理相关因素（如决策的规则和程序及组织架构）。</w:t>
            </w:r>
          </w:p>
          <w:p>
            <w:pPr>
              <w:spacing w:line="360" w:lineRule="auto"/>
              <w:ind w:firstLine="480"/>
              <w:jc w:val="left"/>
              <w:rPr>
                <w:rFonts w:ascii="宋体"/>
                <w:sz w:val="20"/>
                <w:szCs w:val="20"/>
              </w:rPr>
            </w:pPr>
            <w:r>
              <w:rPr>
                <w:rFonts w:hint="eastAsia" w:ascii="宋体" w:hAnsi="宋体"/>
                <w:sz w:val="20"/>
                <w:szCs w:val="20"/>
              </w:rPr>
              <w:t>外部因素包括宏观经济学因素（如货币兑换汇率预测、国家经济走向、通货膨胀预测、信贷可得性）、社会因素（如本地失业率、安全感、教育水平、公共假日及工作时间）、政治因素（如政治稳定性、公共投入、本地基础设施、国际贸易协议）、技术因素（如新领域科技、材料及设施、专利有效期、职业道德准则）、竞争力（如公司市场占有率、相似或可替代产品及服务、市场领先者趋势、顾客增长趋势、市场稳定性）、影响工作环境的因素（如法律法规要求、包括环境法规及行为准则）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ind w:firstLine="480"/>
              <w:jc w:val="left"/>
              <w:rPr>
                <w:rFonts w:ascii="宋体"/>
                <w:sz w:val="20"/>
                <w:szCs w:val="20"/>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sz w:val="20"/>
                <w:szCs w:val="20"/>
              </w:rPr>
              <w:t>由于相关方对公司持续提供符合顾客要求和适用法律法规要求的产品和服务的能力产生影响或潜在影响，因此，公司确定：</w:t>
            </w:r>
          </w:p>
          <w:p>
            <w:pPr>
              <w:numPr>
                <w:ilvl w:val="0"/>
                <w:numId w:val="1"/>
              </w:numPr>
              <w:spacing w:line="360" w:lineRule="auto"/>
              <w:jc w:val="left"/>
              <w:rPr>
                <w:rFonts w:ascii="宋体"/>
                <w:sz w:val="20"/>
                <w:szCs w:val="20"/>
              </w:rPr>
            </w:pPr>
            <w:r>
              <w:rPr>
                <w:rFonts w:hint="eastAsia" w:ascii="宋体" w:hAnsi="宋体"/>
                <w:sz w:val="20"/>
                <w:szCs w:val="20"/>
              </w:rPr>
              <w:t>与三标一体化管理体系有关的相关方；</w:t>
            </w:r>
          </w:p>
          <w:p>
            <w:pPr>
              <w:numPr>
                <w:ilvl w:val="0"/>
                <w:numId w:val="1"/>
              </w:numPr>
              <w:spacing w:line="360" w:lineRule="auto"/>
              <w:jc w:val="left"/>
              <w:rPr>
                <w:rFonts w:ascii="宋体"/>
                <w:sz w:val="20"/>
                <w:szCs w:val="20"/>
              </w:rPr>
            </w:pPr>
            <w:r>
              <w:rPr>
                <w:rFonts w:hint="eastAsia" w:ascii="宋体" w:hAnsi="宋体"/>
                <w:sz w:val="20"/>
                <w:szCs w:val="20"/>
              </w:rPr>
              <w:t>与三标一体化管理体系有关的相关方的要求；</w:t>
            </w:r>
          </w:p>
          <w:p>
            <w:pPr>
              <w:numPr>
                <w:ilvl w:val="0"/>
                <w:numId w:val="1"/>
              </w:numPr>
              <w:spacing w:line="360" w:lineRule="auto"/>
              <w:jc w:val="left"/>
              <w:rPr>
                <w:rFonts w:ascii="宋体"/>
                <w:sz w:val="20"/>
                <w:szCs w:val="20"/>
              </w:rPr>
            </w:pPr>
            <w:r>
              <w:rPr>
                <w:rFonts w:hint="eastAsia" w:ascii="宋体" w:hAnsi="宋体"/>
                <w:sz w:val="20"/>
                <w:szCs w:val="20"/>
              </w:rPr>
              <w:t>这些需求和期望中哪些将成为其合规义务。</w:t>
            </w:r>
          </w:p>
          <w:p>
            <w:pPr>
              <w:spacing w:line="360" w:lineRule="auto"/>
              <w:ind w:left="480"/>
              <w:jc w:val="left"/>
              <w:rPr>
                <w:rFonts w:ascii="宋体"/>
                <w:sz w:val="20"/>
                <w:szCs w:val="20"/>
              </w:rPr>
            </w:pPr>
            <w:r>
              <w:rPr>
                <w:rFonts w:hint="eastAsia" w:ascii="宋体" w:hAnsi="宋体"/>
                <w:sz w:val="20"/>
                <w:szCs w:val="20"/>
              </w:rPr>
              <w:t>公司编制《组织环境与相关方管理程序》，并对这些相关方及其要求的相关信息进行监视和评审。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rPr>
              <w:sym w:font="Wingdings 2" w:char="0052"/>
            </w:r>
            <w:r>
              <w:rPr>
                <w:rFonts w:hint="eastAsia"/>
              </w:rPr>
              <w:t>质量</w:t>
            </w:r>
            <w:r>
              <w:t>/</w:t>
            </w:r>
            <w:r>
              <w:rPr>
                <w:rFonts w:hint="eastAsia"/>
              </w:rPr>
              <w:sym w:font="Wingdings 2" w:char="0052"/>
            </w:r>
            <w:r>
              <w:rPr>
                <w:rFonts w:hint="eastAsia"/>
              </w:rPr>
              <w:t>环境</w:t>
            </w:r>
            <w:r>
              <w:t>/</w:t>
            </w:r>
            <w:r>
              <w:rPr>
                <w:rFonts w:hint="eastAsia"/>
              </w:rPr>
              <w:sym w:font="Wingdings 2" w:char="0052"/>
            </w:r>
            <w:r>
              <w:rPr>
                <w:rFonts w:hint="eastAsia"/>
              </w:rPr>
              <w:t>职业健康安全方针（组织方针的适宜性</w:t>
            </w:r>
            <w:r>
              <w:t>/</w:t>
            </w:r>
            <w:r>
              <w:rPr>
                <w:rFonts w:hint="eastAsia"/>
              </w:rPr>
              <w:t>持续适宜性、方针的传达及职工的理解等）</w:t>
            </w:r>
          </w:p>
          <w:p>
            <w:pPr>
              <w:spacing w:line="400" w:lineRule="exact"/>
              <w:ind w:firstLine="500" w:firstLineChars="200"/>
              <w:rPr>
                <w:rFonts w:hint="eastAsia" w:ascii="宋体" w:hAnsi="宋体"/>
                <w:color w:val="auto"/>
                <w:spacing w:val="20"/>
                <w:sz w:val="21"/>
                <w:szCs w:val="21"/>
                <w:lang w:eastAsia="zh-CN"/>
              </w:rPr>
            </w:pPr>
            <w:r>
              <w:rPr>
                <w:rFonts w:hint="eastAsia" w:ascii="宋体" w:hAnsi="宋体"/>
                <w:color w:val="auto"/>
                <w:spacing w:val="20"/>
                <w:sz w:val="21"/>
                <w:szCs w:val="21"/>
              </w:rPr>
              <w:t>提供</w:t>
            </w:r>
            <w:r>
              <w:rPr>
                <w:rFonts w:hint="eastAsia" w:ascii="宋体" w:hAnsi="宋体"/>
                <w:color w:val="auto"/>
                <w:spacing w:val="20"/>
                <w:sz w:val="21"/>
                <w:szCs w:val="21"/>
                <w:lang w:eastAsia="zh-CN"/>
              </w:rPr>
              <w:t>合格</w:t>
            </w:r>
            <w:r>
              <w:rPr>
                <w:rFonts w:hint="eastAsia" w:ascii="宋体" w:hAnsi="宋体"/>
                <w:color w:val="auto"/>
                <w:spacing w:val="20"/>
                <w:sz w:val="21"/>
                <w:szCs w:val="21"/>
              </w:rPr>
              <w:t>的产品和</w:t>
            </w:r>
            <w:r>
              <w:rPr>
                <w:rFonts w:hint="eastAsia" w:ascii="宋体" w:hAnsi="宋体"/>
                <w:color w:val="auto"/>
                <w:spacing w:val="20"/>
                <w:sz w:val="21"/>
                <w:szCs w:val="21"/>
                <w:lang w:eastAsia="zh-CN"/>
              </w:rPr>
              <w:t>优质</w:t>
            </w:r>
            <w:r>
              <w:rPr>
                <w:rFonts w:hint="eastAsia" w:ascii="宋体" w:hAnsi="宋体"/>
                <w:color w:val="auto"/>
                <w:spacing w:val="20"/>
                <w:sz w:val="21"/>
                <w:szCs w:val="21"/>
              </w:rPr>
              <w:t>的服务</w:t>
            </w:r>
            <w:r>
              <w:rPr>
                <w:rFonts w:hint="eastAsia" w:ascii="宋体" w:hAnsi="宋体"/>
                <w:color w:val="auto"/>
                <w:spacing w:val="20"/>
                <w:sz w:val="21"/>
                <w:szCs w:val="21"/>
                <w:lang w:eastAsia="zh-CN"/>
              </w:rPr>
              <w:t>；遵守法规增全员意识，预防污染保环境美化；</w:t>
            </w:r>
          </w:p>
          <w:p>
            <w:pPr>
              <w:spacing w:line="400" w:lineRule="exact"/>
              <w:ind w:firstLine="500" w:firstLineChars="200"/>
              <w:rPr>
                <w:rFonts w:hint="eastAsia" w:ascii="宋体" w:hAnsi="宋体"/>
                <w:b/>
                <w:bCs/>
                <w:color w:val="auto"/>
                <w:spacing w:val="20"/>
                <w:sz w:val="21"/>
                <w:szCs w:val="21"/>
              </w:rPr>
            </w:pPr>
            <w:r>
              <w:rPr>
                <w:rFonts w:hint="eastAsia" w:ascii="宋体" w:hAnsi="宋体"/>
                <w:color w:val="auto"/>
                <w:spacing w:val="20"/>
                <w:sz w:val="21"/>
                <w:szCs w:val="21"/>
                <w:lang w:eastAsia="zh-CN"/>
              </w:rPr>
              <w:t>遵守相关安全交通法规意识，预防交通事故</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rPr>
            </w:pPr>
            <w:r>
              <w:rPr>
                <w:rFonts w:hint="eastAsia"/>
              </w:rPr>
              <w:t>风险识别与控制策划</w:t>
            </w:r>
          </w:p>
          <w:p>
            <w:pPr>
              <w:spacing w:line="360" w:lineRule="auto"/>
              <w:ind w:firstLine="400" w:firstLineChars="200"/>
              <w:rPr>
                <w:rFonts w:ascii="宋体"/>
                <w:sz w:val="20"/>
                <w:szCs w:val="20"/>
              </w:rPr>
            </w:pPr>
            <w:r>
              <w:rPr>
                <w:rFonts w:hint="eastAsia" w:ascii="宋体" w:hAnsi="宋体"/>
                <w:sz w:val="20"/>
                <w:szCs w:val="20"/>
              </w:rPr>
              <w:t>公司在策划三标一体化管理体系时，考虑“</w:t>
            </w:r>
            <w:r>
              <w:rPr>
                <w:rFonts w:ascii="宋体" w:hAnsi="宋体"/>
                <w:sz w:val="20"/>
                <w:szCs w:val="20"/>
              </w:rPr>
              <w:t>4.1</w:t>
            </w:r>
            <w:r>
              <w:rPr>
                <w:rFonts w:hint="eastAsia" w:ascii="宋体" w:hAnsi="宋体"/>
                <w:sz w:val="20"/>
                <w:szCs w:val="20"/>
              </w:rPr>
              <w:t>理解组织及其背景环境”、“</w:t>
            </w:r>
            <w:r>
              <w:rPr>
                <w:rFonts w:ascii="宋体" w:hAnsi="宋体"/>
                <w:sz w:val="20"/>
                <w:szCs w:val="20"/>
              </w:rPr>
              <w:t>4.2</w:t>
            </w:r>
            <w:r>
              <w:rPr>
                <w:rFonts w:hint="eastAsia" w:ascii="宋体" w:hAnsi="宋体"/>
                <w:sz w:val="20"/>
                <w:szCs w:val="20"/>
              </w:rPr>
              <w:t>理解相关方的需求和期望”所提及的要求及三标一体化管理体系的范围，确定需要应对的风险和机遇，以便：</w:t>
            </w:r>
          </w:p>
          <w:p>
            <w:pPr>
              <w:numPr>
                <w:ilvl w:val="0"/>
                <w:numId w:val="4"/>
              </w:numPr>
              <w:spacing w:line="360" w:lineRule="auto"/>
              <w:rPr>
                <w:rFonts w:ascii="宋体"/>
                <w:sz w:val="20"/>
                <w:szCs w:val="20"/>
              </w:rPr>
            </w:pPr>
            <w:r>
              <w:rPr>
                <w:rFonts w:hint="eastAsia" w:ascii="宋体" w:hAnsi="宋体"/>
                <w:sz w:val="20"/>
                <w:szCs w:val="20"/>
              </w:rPr>
              <w:t>确保三标一体化管理体系能够实现其预期结果；</w:t>
            </w:r>
          </w:p>
          <w:p>
            <w:pPr>
              <w:numPr>
                <w:ilvl w:val="0"/>
                <w:numId w:val="4"/>
              </w:numPr>
              <w:spacing w:line="360" w:lineRule="auto"/>
              <w:rPr>
                <w:rFonts w:ascii="宋体"/>
                <w:sz w:val="20"/>
                <w:szCs w:val="20"/>
              </w:rPr>
            </w:pPr>
            <w:r>
              <w:rPr>
                <w:rFonts w:hint="eastAsia" w:ascii="宋体" w:hAnsi="宋体"/>
                <w:sz w:val="20"/>
                <w:szCs w:val="20"/>
              </w:rPr>
              <w:t>增强有利影响；</w:t>
            </w:r>
          </w:p>
          <w:p>
            <w:pPr>
              <w:numPr>
                <w:ilvl w:val="0"/>
                <w:numId w:val="4"/>
              </w:numPr>
              <w:spacing w:line="360" w:lineRule="auto"/>
              <w:rPr>
                <w:rFonts w:ascii="宋体"/>
                <w:sz w:val="20"/>
                <w:szCs w:val="20"/>
              </w:rPr>
            </w:pPr>
            <w:r>
              <w:rPr>
                <w:rFonts w:hint="eastAsia" w:ascii="宋体" w:hAnsi="宋体"/>
                <w:sz w:val="20"/>
                <w:szCs w:val="20"/>
              </w:rPr>
              <w:t>避免或减少不利影响，包括外部环境状况对公司的潜在影响；</w:t>
            </w:r>
          </w:p>
          <w:p>
            <w:pPr>
              <w:numPr>
                <w:ilvl w:val="0"/>
                <w:numId w:val="4"/>
              </w:numPr>
              <w:spacing w:line="360" w:lineRule="auto"/>
              <w:rPr>
                <w:rFonts w:ascii="宋体"/>
                <w:sz w:val="20"/>
                <w:szCs w:val="20"/>
              </w:rPr>
            </w:pPr>
            <w:r>
              <w:rPr>
                <w:rFonts w:hint="eastAsia" w:ascii="宋体" w:hAnsi="宋体"/>
                <w:sz w:val="20"/>
                <w:szCs w:val="20"/>
              </w:rPr>
              <w:t>实现持续改进；</w:t>
            </w:r>
          </w:p>
          <w:p>
            <w:pPr>
              <w:numPr>
                <w:ilvl w:val="0"/>
                <w:numId w:val="4"/>
              </w:numPr>
              <w:spacing w:line="360" w:lineRule="auto"/>
              <w:rPr>
                <w:rFonts w:ascii="宋体"/>
                <w:sz w:val="20"/>
                <w:szCs w:val="20"/>
              </w:rPr>
            </w:pPr>
            <w:r>
              <w:rPr>
                <w:rFonts w:hint="eastAsia" w:ascii="宋体" w:hAnsi="宋体"/>
                <w:sz w:val="20"/>
                <w:szCs w:val="20"/>
              </w:rPr>
              <w:t>确定公司三标一体化管理体系范围内的潜在的紧急情况，特别是那些可能具有环境影响的潜在紧急情况。</w:t>
            </w:r>
          </w:p>
          <w:p>
            <w:pPr>
              <w:spacing w:line="360" w:lineRule="auto"/>
              <w:ind w:firstLine="400" w:firstLineChars="200"/>
              <w:rPr>
                <w:rFonts w:ascii="宋体"/>
                <w:sz w:val="20"/>
                <w:szCs w:val="20"/>
              </w:rPr>
            </w:pPr>
            <w:r>
              <w:rPr>
                <w:rFonts w:hint="eastAsia" w:ascii="宋体" w:hAnsi="宋体"/>
                <w:sz w:val="20"/>
                <w:szCs w:val="20"/>
              </w:rPr>
              <w:t>公司策划：</w:t>
            </w:r>
          </w:p>
          <w:p>
            <w:pPr>
              <w:numPr>
                <w:ilvl w:val="0"/>
                <w:numId w:val="5"/>
              </w:numPr>
              <w:spacing w:line="360" w:lineRule="auto"/>
              <w:rPr>
                <w:rFonts w:ascii="宋体"/>
                <w:sz w:val="20"/>
                <w:szCs w:val="20"/>
              </w:rPr>
            </w:pPr>
            <w:r>
              <w:rPr>
                <w:rFonts w:hint="eastAsia" w:ascii="宋体" w:hAnsi="宋体"/>
                <w:sz w:val="20"/>
                <w:szCs w:val="20"/>
              </w:rPr>
              <w:t>应对这些风险和机遇的措施，应对风险和机遇的措施应与其对于产品和服务符合性的潜在影响相适应；</w:t>
            </w:r>
          </w:p>
          <w:p>
            <w:pPr>
              <w:numPr>
                <w:ilvl w:val="0"/>
                <w:numId w:val="5"/>
              </w:numPr>
              <w:spacing w:line="360" w:lineRule="auto"/>
              <w:rPr>
                <w:rFonts w:ascii="宋体"/>
                <w:sz w:val="20"/>
                <w:szCs w:val="20"/>
              </w:rPr>
            </w:pPr>
            <w:r>
              <w:rPr>
                <w:rFonts w:hint="eastAsia" w:ascii="宋体" w:hAnsi="宋体"/>
                <w:sz w:val="20"/>
                <w:szCs w:val="20"/>
              </w:rPr>
              <w:t>如何在质量、环境和职业健康安全管理体系过程中整合并实施这些措施；</w:t>
            </w:r>
          </w:p>
          <w:p>
            <w:pPr>
              <w:numPr>
                <w:ilvl w:val="0"/>
                <w:numId w:val="5"/>
              </w:numPr>
              <w:spacing w:line="360" w:lineRule="auto"/>
              <w:rPr>
                <w:rFonts w:ascii="宋体"/>
                <w:sz w:val="20"/>
                <w:szCs w:val="20"/>
              </w:rPr>
            </w:pPr>
            <w:r>
              <w:rPr>
                <w:rFonts w:hint="eastAsia" w:ascii="宋体" w:hAnsi="宋体"/>
                <w:sz w:val="20"/>
                <w:szCs w:val="20"/>
              </w:rPr>
              <w:t>如何评价这些措施的有效性。</w:t>
            </w:r>
          </w:p>
          <w:p>
            <w:pPr>
              <w:spacing w:line="360" w:lineRule="auto"/>
              <w:ind w:firstLine="400" w:firstLineChars="200"/>
              <w:rPr>
                <w:rFonts w:ascii="宋体"/>
                <w:sz w:val="20"/>
                <w:szCs w:val="20"/>
              </w:rPr>
            </w:pPr>
            <w:r>
              <w:rPr>
                <w:rFonts w:hint="eastAsia" w:ascii="宋体" w:hAnsi="宋体"/>
                <w:sz w:val="20"/>
                <w:szCs w:val="20"/>
              </w:rPr>
              <w:t>编制《风险和机遇管理程序》，由办公室负责日常管理，确保文件化信息程度足以确信这些过程按策划实施。</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31680" w:hanging="201" w:hangingChars="100"/>
              <w:rPr>
                <w:rFonts w:ascii="宋体"/>
                <w:b/>
                <w:color w:val="000000"/>
                <w:sz w:val="20"/>
                <w:szCs w:val="20"/>
              </w:rPr>
            </w:pPr>
            <w:r>
              <w:rPr>
                <w:rFonts w:hint="eastAsia" w:ascii="宋体" w:hAnsi="宋体"/>
                <w:b/>
                <w:color w:val="000000"/>
                <w:sz w:val="20"/>
                <w:szCs w:val="20"/>
              </w:rPr>
              <w:t>质量管理体系过程有：</w:t>
            </w:r>
          </w:p>
          <w:p>
            <w:pPr>
              <w:tabs>
                <w:tab w:val="left" w:pos="540"/>
              </w:tabs>
              <w:spacing w:line="300" w:lineRule="exact"/>
              <w:ind w:left="31680" w:hanging="235" w:hangingChars="100"/>
              <w:rPr>
                <w:rFonts w:hint="eastAsia" w:ascii="宋体" w:hAnsi="宋体"/>
                <w:b/>
                <w:bCs/>
                <w:color w:val="000000"/>
                <w:spacing w:val="12"/>
                <w:sz w:val="21"/>
                <w:szCs w:val="21"/>
              </w:rPr>
            </w:pPr>
            <w:r>
              <w:rPr>
                <w:rFonts w:hint="eastAsia" w:ascii="宋体" w:hAnsi="宋体"/>
                <w:b/>
                <w:bCs/>
                <w:color w:val="000000"/>
                <w:spacing w:val="12"/>
                <w:sz w:val="21"/>
                <w:szCs w:val="21"/>
              </w:rPr>
              <w:t>产品要求信息获取----产品要求评审-----签订合同----采购 -----质检------销售</w:t>
            </w:r>
          </w:p>
          <w:p>
            <w:pPr>
              <w:tabs>
                <w:tab w:val="left" w:pos="540"/>
              </w:tabs>
              <w:spacing w:line="300" w:lineRule="exact"/>
              <w:ind w:left="31680" w:hanging="201" w:hangingChars="100"/>
              <w:rPr>
                <w:rFonts w:asci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rPr>
              <w:t>销售过程</w:t>
            </w:r>
            <w:r>
              <w:rPr>
                <w:rFonts w:ascii="宋体" w:hAnsi="宋体"/>
                <w:b/>
                <w:color w:val="000000"/>
                <w:sz w:val="20"/>
                <w:szCs w:val="20"/>
                <w:u w:val="single"/>
              </w:rPr>
              <w:t xml:space="preserve">                                                            </w:t>
            </w:r>
            <w:r>
              <w:rPr>
                <w:rFonts w:hint="eastAsia" w:ascii="宋体" w:hAnsi="宋体"/>
                <w:b/>
                <w:color w:val="000000"/>
                <w:sz w:val="20"/>
                <w:szCs w:val="20"/>
                <w:u w:val="single"/>
              </w:rPr>
              <w:t>，</w:t>
            </w:r>
          </w:p>
          <w:p>
            <w:pPr>
              <w:tabs>
                <w:tab w:val="left" w:pos="540"/>
              </w:tabs>
              <w:spacing w:line="300" w:lineRule="exact"/>
              <w:ind w:left="31680"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u w:val="single"/>
              </w:rPr>
              <w:t>销售过程</w:t>
            </w:r>
          </w:p>
          <w:p>
            <w:pPr>
              <w:tabs>
                <w:tab w:val="left" w:pos="540"/>
              </w:tabs>
              <w:spacing w:line="300" w:lineRule="exact"/>
              <w:ind w:left="31680" w:hanging="240" w:hangingChars="100"/>
              <w:rPr>
                <w:rFonts w:ascii="宋体"/>
                <w:b/>
                <w:color w:val="000000"/>
                <w:sz w:val="20"/>
                <w:szCs w:val="20"/>
              </w:rPr>
            </w:pPr>
            <w:r>
              <w:pict>
                <v:shape id="_x0000_s2051" o:spid="_x0000_s2051" o:spt="32" type="#_x0000_t32" style="position:absolute;left:0pt;margin-left:157.9pt;margin-top:12.75pt;height:0pt;width:261.75pt;z-index:251659264;mso-width-relative:page;mso-height-relative:page;" o:connectortype="straight" filled="f" coordsize="21600,21600">
                  <v:path arrowok="t"/>
                  <v:fill on="f" focussize="0,0"/>
                  <v:stroke/>
                  <v:imagedata o:title=""/>
                  <o:lock v:ext="edit"/>
                </v:shape>
              </w:pict>
            </w:r>
            <w:r>
              <w:pict>
                <v:shape id="_x0000_s2052" o:spid="_x0000_s2052"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ascii="宋体" w:hAnsi="宋体"/>
                <w:b/>
                <w:color w:val="000000"/>
                <w:sz w:val="20"/>
                <w:szCs w:val="20"/>
              </w:rPr>
              <w:t xml:space="preserve"> </w:t>
            </w:r>
            <w:r>
              <w:rPr>
                <w:rFonts w:ascii="宋体" w:hAnsi="宋体"/>
                <w:b/>
                <w:color w:val="FF0000"/>
                <w:sz w:val="20"/>
                <w:szCs w:val="20"/>
              </w:rPr>
              <w:t xml:space="preserve"> </w:t>
            </w:r>
            <w:r>
              <w:rPr>
                <w:rFonts w:hint="eastAsia" w:ascii="宋体" w:hAnsi="宋体"/>
                <w:b w:val="0"/>
                <w:bCs/>
                <w:color w:val="auto"/>
                <w:sz w:val="20"/>
                <w:szCs w:val="20"/>
                <w:lang w:val="en-US" w:eastAsia="zh-CN"/>
              </w:rPr>
              <w:t>公司业务只是</w:t>
            </w:r>
            <w:r>
              <w:rPr>
                <w:color w:val="auto"/>
                <w:sz w:val="20"/>
              </w:rPr>
              <w:t>服装机械设备及零配件的销售</w:t>
            </w:r>
            <w:r>
              <w:rPr>
                <w:rFonts w:hint="eastAsia"/>
                <w:color w:val="auto"/>
                <w:sz w:val="20"/>
                <w:lang w:eastAsia="zh-CN"/>
              </w:rPr>
              <w:t>，</w:t>
            </w:r>
            <w:r>
              <w:rPr>
                <w:rFonts w:hint="eastAsia"/>
                <w:color w:val="auto"/>
                <w:sz w:val="20"/>
                <w:lang w:val="en-US" w:eastAsia="zh-CN"/>
              </w:rPr>
              <w:t>不涉及产品设计和开发，且不影响法律法规的执行和满足顾客的要求。</w:t>
            </w:r>
            <w:r>
              <w:rPr>
                <w:rFonts w:ascii="宋体" w:hAnsi="宋体"/>
                <w:b/>
                <w:color w:val="auto"/>
                <w:sz w:val="20"/>
                <w:szCs w:val="20"/>
              </w:rPr>
              <w:t xml:space="preserve">           </w:t>
            </w:r>
            <w:r>
              <w:rPr>
                <w:rFonts w:ascii="宋体" w:hAnsi="宋体"/>
                <w:b/>
                <w:color w:val="000000"/>
                <w:sz w:val="20"/>
                <w:szCs w:val="20"/>
              </w:rPr>
              <w:t xml:space="preserve">                                    </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hint="eastAsia"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pStyle w:val="2"/>
            </w:pPr>
            <w:r>
              <w:rPr>
                <w:rFonts w:hint="eastAsia"/>
                <w:b/>
                <w:color w:val="000000"/>
                <w:sz w:val="20"/>
                <w:szCs w:val="20"/>
              </w:rPr>
              <w:t>环境因素辨识充分，重要环境因素</w:t>
            </w:r>
            <w:r>
              <w:rPr>
                <w:rFonts w:hint="eastAsia"/>
                <w:b/>
                <w:color w:val="000000"/>
                <w:sz w:val="20"/>
                <w:szCs w:val="20"/>
                <w:lang w:val="en-US" w:eastAsia="zh-CN"/>
              </w:rPr>
              <w:t>三</w:t>
            </w:r>
            <w:r>
              <w:rPr>
                <w:rFonts w:hint="eastAsia"/>
                <w:b/>
                <w:color w:val="000000"/>
                <w:sz w:val="20"/>
                <w:szCs w:val="20"/>
              </w:rPr>
              <w:t>个：固体废弃物、火灾</w:t>
            </w:r>
            <w:r>
              <w:rPr>
                <w:rFonts w:hint="eastAsia"/>
                <w:b/>
                <w:color w:val="000000"/>
                <w:sz w:val="20"/>
                <w:szCs w:val="20"/>
                <w:lang w:eastAsia="zh-CN"/>
              </w:rPr>
              <w:t>、</w:t>
            </w:r>
            <w:r>
              <w:rPr>
                <w:rFonts w:hint="eastAsia"/>
                <w:b/>
                <w:color w:val="000000"/>
                <w:sz w:val="20"/>
                <w:szCs w:val="20"/>
                <w:lang w:val="en-US" w:eastAsia="zh-CN"/>
              </w:rPr>
              <w:t>能源消耗</w:t>
            </w:r>
            <w:r>
              <w:rPr>
                <w:rFonts w:hint="eastAsia"/>
                <w:b/>
                <w:color w:val="000000"/>
                <w:sz w:val="20"/>
                <w:szCs w:val="20"/>
              </w:rPr>
              <w:t>，评价合理，根据环境因素的动态及时变更和控制。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rPr>
              <w:sym w:font="Wingdings 2" w:char="0052"/>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pStyle w:val="2"/>
            </w:pPr>
            <w:r>
              <w:rPr>
                <w:rFonts w:hint="eastAsia" w:ascii="宋体" w:hAnsi="宋体"/>
                <w:b/>
                <w:color w:val="000000"/>
                <w:spacing w:val="-8"/>
                <w:sz w:val="20"/>
                <w:szCs w:val="20"/>
              </w:rPr>
              <w:t>职业健康安全危险源</w:t>
            </w:r>
            <w:r>
              <w:rPr>
                <w:rFonts w:hint="eastAsia" w:ascii="宋体" w:hAnsi="宋体"/>
                <w:b/>
                <w:color w:val="000000"/>
                <w:sz w:val="20"/>
                <w:szCs w:val="20"/>
              </w:rPr>
              <w:t>辨识充分，风险评价合理，重大危险源三个：触电、火灾、意外伤害，根据动态及时变更和控制。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6"/>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w:t>
            </w:r>
            <w:r>
              <w:rPr>
                <w:rFonts w:ascii="宋体" w:hAnsi="宋体"/>
                <w:b/>
                <w:color w:val="000000"/>
                <w:szCs w:val="21"/>
              </w:rPr>
              <w:t>51</w:t>
            </w:r>
            <w:r>
              <w:rPr>
                <w:rFonts w:hint="eastAsia" w:ascii="宋体" w:hAnsi="宋体"/>
                <w:b/>
                <w:color w:val="000000"/>
                <w:szCs w:val="21"/>
              </w:rPr>
              <w:t>项，■法律法规获取充分，□法律法规获取有遗漏，缺少</w:t>
            </w:r>
          </w:p>
          <w:p>
            <w:pPr>
              <w:tabs>
                <w:tab w:val="left" w:pos="540"/>
              </w:tabs>
              <w:spacing w:line="300" w:lineRule="exact"/>
              <w:ind w:left="1" w:leftChars="-43" w:hanging="104" w:hangingChars="43"/>
              <w:rPr>
                <w:rFonts w:ascii="宋体"/>
                <w:b/>
                <w:color w:val="000000"/>
                <w:szCs w:val="21"/>
                <w:u w:val="single"/>
              </w:rPr>
            </w:pPr>
          </w:p>
          <w:p>
            <w:pPr>
              <w:pStyle w:val="13"/>
              <w:numPr>
                <w:ilvl w:val="0"/>
                <w:numId w:val="6"/>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pStyle w:val="13"/>
              <w:numPr>
                <w:ilvl w:val="0"/>
                <w:numId w:val="6"/>
              </w:numPr>
              <w:tabs>
                <w:tab w:val="left" w:pos="540"/>
              </w:tabs>
              <w:spacing w:line="300" w:lineRule="exact"/>
              <w:ind w:firstLineChars="0"/>
              <w:rPr>
                <w:rFonts w:ascii="宋体"/>
                <w:b/>
                <w:color w:val="000000"/>
                <w:szCs w:val="21"/>
              </w:rPr>
            </w:pPr>
            <w:r>
              <w:rPr>
                <w:rFonts w:hint="eastAsia" w:ascii="宋体" w:hAnsi="宋体"/>
                <w:b/>
                <w:color w:val="000000"/>
                <w:szCs w:val="21"/>
              </w:rPr>
              <w:t>法律法规的宣传方式：会议、文件等形式</w:t>
            </w:r>
          </w:p>
          <w:p>
            <w:pPr>
              <w:pStyle w:val="13"/>
              <w:numPr>
                <w:ilvl w:val="0"/>
                <w:numId w:val="6"/>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法律法规要求及时更新了：公司及时关注每年进行一次法律法律的合规性评价</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400" w:lineRule="exact"/>
              <w:ind w:left="862"/>
              <w:rPr>
                <w:rFonts w:hint="eastAsia" w:ascii="楷体" w:hAnsi="楷体" w:eastAsia="楷体"/>
                <w:b/>
                <w:bCs/>
                <w:color w:val="000000"/>
                <w:sz w:val="21"/>
                <w:szCs w:val="21"/>
              </w:rPr>
            </w:pPr>
            <w:r>
              <w:rPr>
                <w:rFonts w:hint="eastAsia" w:ascii="楷体" w:hAnsi="楷体" w:eastAsia="楷体" w:cs="楷体"/>
                <w:b/>
                <w:bCs/>
                <w:spacing w:val="20"/>
                <w:sz w:val="21"/>
                <w:szCs w:val="21"/>
              </w:rPr>
              <w:t>质量目标</w:t>
            </w:r>
            <w:r>
              <w:rPr>
                <w:rFonts w:hint="eastAsia" w:ascii="宋体" w:hAnsi="宋体"/>
                <w:b/>
                <w:bCs/>
                <w:spacing w:val="20"/>
                <w:sz w:val="21"/>
                <w:szCs w:val="21"/>
              </w:rPr>
              <w:t>：</w:t>
            </w:r>
            <w:r>
              <w:rPr>
                <w:rFonts w:hint="eastAsia" w:ascii="楷体" w:hAnsi="楷体" w:eastAsia="楷体"/>
                <w:b/>
                <w:bCs/>
                <w:color w:val="000000"/>
                <w:sz w:val="21"/>
                <w:szCs w:val="21"/>
              </w:rPr>
              <w:t>1、交货及时率≥9</w:t>
            </w:r>
            <w:r>
              <w:rPr>
                <w:rFonts w:hint="eastAsia" w:ascii="楷体" w:hAnsi="楷体" w:eastAsia="楷体"/>
                <w:b/>
                <w:bCs/>
                <w:color w:val="000000"/>
                <w:sz w:val="21"/>
                <w:szCs w:val="21"/>
                <w:lang w:val="en-US" w:eastAsia="zh-CN"/>
              </w:rPr>
              <w:t>2</w:t>
            </w:r>
            <w:r>
              <w:rPr>
                <w:rFonts w:hint="eastAsia" w:ascii="楷体" w:hAnsi="楷体" w:eastAsia="楷体"/>
                <w:b/>
                <w:bCs/>
                <w:color w:val="000000"/>
                <w:sz w:val="21"/>
                <w:szCs w:val="21"/>
              </w:rPr>
              <w:t>%；</w:t>
            </w:r>
          </w:p>
          <w:p>
            <w:pPr>
              <w:tabs>
                <w:tab w:val="left" w:pos="840"/>
              </w:tabs>
              <w:spacing w:line="480" w:lineRule="exact"/>
              <w:rPr>
                <w:rFonts w:hint="eastAsia" w:ascii="楷体" w:hAnsi="楷体" w:eastAsia="楷体"/>
                <w:b/>
                <w:bCs/>
                <w:color w:val="000000"/>
                <w:sz w:val="21"/>
                <w:szCs w:val="21"/>
              </w:rPr>
            </w:pPr>
            <w:r>
              <w:rPr>
                <w:rFonts w:hint="eastAsia" w:ascii="楷体" w:hAnsi="楷体" w:eastAsia="楷体"/>
                <w:b/>
                <w:bCs/>
                <w:color w:val="000000"/>
                <w:sz w:val="21"/>
                <w:szCs w:val="21"/>
              </w:rPr>
              <w:t xml:space="preserve">              </w:t>
            </w:r>
            <w:r>
              <w:rPr>
                <w:rFonts w:hint="eastAsia" w:ascii="楷体" w:hAnsi="楷体" w:eastAsia="楷体"/>
                <w:b/>
                <w:bCs/>
                <w:color w:val="000000"/>
                <w:sz w:val="21"/>
                <w:szCs w:val="21"/>
                <w:lang w:val="en-US" w:eastAsia="zh-CN"/>
              </w:rPr>
              <w:t xml:space="preserve">      </w:t>
            </w:r>
            <w:r>
              <w:rPr>
                <w:rFonts w:hint="eastAsia" w:ascii="楷体" w:hAnsi="楷体" w:eastAsia="楷体"/>
                <w:b/>
                <w:bCs/>
                <w:color w:val="000000"/>
                <w:sz w:val="21"/>
                <w:szCs w:val="21"/>
              </w:rPr>
              <w:t>2、顾客满意度92分以上；</w:t>
            </w:r>
          </w:p>
          <w:p>
            <w:pPr>
              <w:tabs>
                <w:tab w:val="left" w:pos="840"/>
              </w:tabs>
              <w:spacing w:line="480" w:lineRule="exact"/>
              <w:ind w:firstLine="843" w:firstLineChars="400"/>
              <w:rPr>
                <w:rFonts w:hint="eastAsia" w:ascii="楷体" w:hAnsi="楷体" w:eastAsia="楷体"/>
                <w:color w:val="000000"/>
                <w:sz w:val="21"/>
                <w:szCs w:val="21"/>
              </w:rPr>
            </w:pPr>
            <w:r>
              <w:rPr>
                <w:rFonts w:hint="eastAsia" w:ascii="楷体" w:hAnsi="楷体" w:eastAsia="楷体"/>
                <w:b/>
                <w:bCs/>
                <w:color w:val="000000"/>
                <w:sz w:val="21"/>
                <w:szCs w:val="21"/>
              </w:rPr>
              <w:t>环境目标：固体废弃物分类处理率100%；</w:t>
            </w:r>
          </w:p>
          <w:p>
            <w:pPr>
              <w:tabs>
                <w:tab w:val="left" w:pos="840"/>
              </w:tabs>
              <w:spacing w:line="480" w:lineRule="exact"/>
              <w:ind w:firstLine="843" w:firstLineChars="400"/>
              <w:rPr>
                <w:rFonts w:hint="eastAsia" w:ascii="楷体" w:hAnsi="楷体" w:eastAsia="楷体"/>
                <w:b/>
                <w:bCs/>
                <w:color w:val="000000"/>
                <w:sz w:val="21"/>
                <w:szCs w:val="21"/>
              </w:rPr>
            </w:pPr>
            <w:r>
              <w:rPr>
                <w:rFonts w:hint="eastAsia" w:ascii="楷体" w:hAnsi="楷体" w:eastAsia="楷体"/>
                <w:b/>
                <w:bCs/>
                <w:color w:val="000000"/>
                <w:sz w:val="21"/>
                <w:szCs w:val="21"/>
              </w:rPr>
              <w:t>职业健康安全目标：火灾事故未0；交通意外伤害为零。</w:t>
            </w:r>
          </w:p>
          <w:p>
            <w:pPr>
              <w:spacing w:before="120" w:line="160" w:lineRule="exact"/>
              <w:rPr>
                <w:rFonts w:hint="eastAsia" w:asciiTheme="majorEastAsia" w:hAnsiTheme="majorEastAsia" w:eastAsiaTheme="majorEastAsia" w:cstheme="majorEastAsia"/>
                <w:b w:val="0"/>
                <w:bCs/>
                <w:sz w:val="21"/>
                <w:szCs w:val="21"/>
                <w:lang w:val="en-US" w:eastAsia="zh-CN"/>
              </w:rPr>
            </w:pPr>
            <w:r>
              <w:rPr>
                <w:rFonts w:hint="eastAsia" w:hAnsiTheme="minorEastAsia" w:eastAsiaTheme="minorEastAsia"/>
                <w:sz w:val="21"/>
                <w:szCs w:val="21"/>
              </w:rPr>
              <w:t>未提供2020年一季度质量/环境/职业健康目标达成记录</w:t>
            </w:r>
            <w:r>
              <w:rPr>
                <w:rFonts w:hint="eastAsia" w:ascii="方正仿宋简体" w:eastAsia="方正仿宋简体"/>
                <w:b/>
                <w:sz w:val="21"/>
                <w:szCs w:val="21"/>
              </w:rPr>
              <w:t>。</w:t>
            </w:r>
            <w:r>
              <w:rPr>
                <w:rFonts w:hint="eastAsia" w:asciiTheme="majorEastAsia" w:hAnsiTheme="majorEastAsia" w:eastAsiaTheme="majorEastAsia" w:cstheme="majorEastAsia"/>
                <w:b w:val="0"/>
                <w:bCs/>
                <w:sz w:val="21"/>
                <w:szCs w:val="21"/>
                <w:lang w:val="en-US" w:eastAsia="zh-CN"/>
              </w:rPr>
              <w:t>开具了不符合。</w:t>
            </w:r>
          </w:p>
          <w:p>
            <w:pPr>
              <w:pStyle w:val="2"/>
              <w:rPr>
                <w:rFonts w:hint="default"/>
                <w:lang w:val="en-US" w:eastAsia="zh-CN"/>
              </w:rPr>
            </w:pPr>
            <w:r>
              <w:rPr>
                <w:rFonts w:hint="eastAsia" w:asciiTheme="majorEastAsia" w:hAnsiTheme="majorEastAsia" w:eastAsiaTheme="majorEastAsia" w:cstheme="majorEastAsia"/>
                <w:b w:val="0"/>
                <w:bCs/>
                <w:sz w:val="21"/>
                <w:szCs w:val="21"/>
                <w:lang w:val="en-US" w:eastAsia="zh-CN"/>
              </w:rPr>
              <w:t>经二阶段现场补充审核核验，整改有效，符合要求。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360" w:lineRule="auto"/>
              <w:ind w:firstLine="400" w:firstLineChars="200"/>
              <w:rPr>
                <w:rFonts w:ascii="宋体"/>
                <w:sz w:val="20"/>
                <w:szCs w:val="20"/>
              </w:rPr>
            </w:pPr>
            <w:r>
              <w:rPr>
                <w:rFonts w:hint="eastAsia" w:ascii="宋体" w:hAnsi="宋体"/>
                <w:sz w:val="20"/>
                <w:szCs w:val="20"/>
              </w:rPr>
              <w:t>公司编制《文件化信息管理程序》以控制三标一体化管理体系和</w:t>
            </w:r>
            <w:r>
              <w:rPr>
                <w:rFonts w:ascii="宋体" w:hAnsi="宋体"/>
                <w:sz w:val="20"/>
                <w:szCs w:val="20"/>
              </w:rPr>
              <w:t>ISO9001</w:t>
            </w:r>
            <w:r>
              <w:rPr>
                <w:rFonts w:hint="eastAsia" w:ascii="宋体" w:hAnsi="宋体"/>
                <w:sz w:val="20"/>
                <w:szCs w:val="20"/>
              </w:rPr>
              <w:t>、</w:t>
            </w:r>
            <w:r>
              <w:rPr>
                <w:rFonts w:ascii="宋体" w:hAnsi="宋体"/>
                <w:sz w:val="20"/>
                <w:szCs w:val="20"/>
              </w:rPr>
              <w:t>ISO14001</w:t>
            </w:r>
            <w:r>
              <w:rPr>
                <w:rFonts w:hint="eastAsia" w:ascii="宋体" w:hAnsi="宋体"/>
                <w:sz w:val="20"/>
                <w:szCs w:val="20"/>
              </w:rPr>
              <w:t>、</w:t>
            </w:r>
            <w:r>
              <w:rPr>
                <w:rFonts w:ascii="宋体" w:hAnsi="宋体"/>
                <w:sz w:val="20"/>
                <w:szCs w:val="20"/>
              </w:rPr>
              <w:t>OHSAS</w:t>
            </w:r>
            <w:r>
              <w:rPr>
                <w:rFonts w:hint="eastAsia" w:ascii="宋体" w:hAnsi="宋体"/>
                <w:sz w:val="20"/>
                <w:szCs w:val="20"/>
                <w:lang w:val="en-US" w:eastAsia="zh-CN"/>
              </w:rPr>
              <w:t>45</w:t>
            </w:r>
            <w:r>
              <w:rPr>
                <w:rFonts w:ascii="宋体" w:hAnsi="宋体"/>
                <w:sz w:val="20"/>
                <w:szCs w:val="20"/>
              </w:rPr>
              <w:t>001</w:t>
            </w:r>
            <w:r>
              <w:rPr>
                <w:rFonts w:hint="eastAsia" w:ascii="宋体" w:hAnsi="宋体"/>
                <w:sz w:val="20"/>
                <w:szCs w:val="20"/>
              </w:rPr>
              <w:t>所需要的形成文件的信息，以确保：</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在需要的场合和时机，均可获得并适用；</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予以妥善保护（如：防止失密、不当使用或不完整）。</w:t>
            </w:r>
          </w:p>
          <w:p>
            <w:pPr>
              <w:spacing w:line="360" w:lineRule="auto"/>
              <w:ind w:firstLine="400" w:firstLineChars="200"/>
              <w:rPr>
                <w:rFonts w:ascii="宋体"/>
                <w:sz w:val="20"/>
                <w:szCs w:val="20"/>
              </w:rPr>
            </w:pPr>
            <w:r>
              <w:rPr>
                <w:rFonts w:hint="eastAsia" w:ascii="宋体" w:hAnsi="宋体"/>
                <w:sz w:val="20"/>
                <w:szCs w:val="20"/>
              </w:rPr>
              <w:t>为控制形成文件的信息，公司编制《文件化信息管理程序》，关注下列活动：</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分发、访问、检索和使用；</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存储和防护，包括保护可读性；</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变更控制（比如版本控制）；</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保留和处置。</w:t>
            </w:r>
          </w:p>
          <w:p>
            <w:pPr>
              <w:spacing w:line="360" w:lineRule="auto"/>
              <w:ind w:firstLine="400" w:firstLineChars="200"/>
              <w:rPr>
                <w:rFonts w:ascii="宋体"/>
                <w:sz w:val="20"/>
                <w:szCs w:val="20"/>
              </w:rPr>
            </w:pPr>
            <w:r>
              <w:rPr>
                <w:rFonts w:hint="eastAsia" w:ascii="宋体" w:hAnsi="宋体"/>
                <w:sz w:val="20"/>
                <w:szCs w:val="20"/>
              </w:rPr>
              <w:t>对确定策划和运行三标一体化管理体系所必需的来自外部的原始的形成文件的信息，公司</w:t>
            </w:r>
            <w:r>
              <w:rPr>
                <w:rFonts w:hint="eastAsia" w:ascii="宋体" w:hAnsi="宋体"/>
                <w:sz w:val="20"/>
                <w:szCs w:val="20"/>
                <w:lang w:val="en-US" w:eastAsia="zh-CN"/>
              </w:rPr>
              <w:t>办公室</w:t>
            </w:r>
            <w:r>
              <w:rPr>
                <w:rFonts w:hint="eastAsia" w:ascii="宋体" w:hAnsi="宋体"/>
                <w:sz w:val="20"/>
                <w:szCs w:val="20"/>
              </w:rPr>
              <w:t>负责进行识别和控制。</w:t>
            </w:r>
          </w:p>
          <w:p>
            <w:pPr>
              <w:spacing w:line="360" w:lineRule="auto"/>
              <w:ind w:firstLine="400" w:firstLineChars="200"/>
              <w:rPr>
                <w:rFonts w:ascii="宋体"/>
                <w:sz w:val="20"/>
                <w:szCs w:val="20"/>
              </w:rPr>
            </w:pPr>
            <w:r>
              <w:rPr>
                <w:rFonts w:hint="eastAsia" w:ascii="宋体" w:hAnsi="宋体"/>
                <w:sz w:val="20"/>
                <w:szCs w:val="20"/>
              </w:rPr>
              <w:t>公司各部门负责对所保存的作为符合性证据的形成文件的信息予以保护，防止非预期的更改。</w:t>
            </w:r>
          </w:p>
          <w:p>
            <w:pPr>
              <w:tabs>
                <w:tab w:val="left" w:pos="54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ind w:firstLine="400" w:firstLineChars="200"/>
              <w:rPr>
                <w:rFonts w:ascii="宋体"/>
                <w:sz w:val="20"/>
                <w:szCs w:val="20"/>
              </w:rPr>
            </w:pPr>
            <w:r>
              <w:rPr>
                <w:rFonts w:hint="eastAsia" w:ascii="宋体" w:hAnsi="宋体"/>
                <w:sz w:val="20"/>
                <w:szCs w:val="20"/>
              </w:rPr>
              <w:t>公司编制文件化的《组织架构》和《岗位说明书》，确定并配备所需的人员，以有效实施三标一体化管理体系并运行和控制其过程。</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sz w:val="20"/>
                <w:szCs w:val="20"/>
              </w:rPr>
              <w:t>公司编制《基础设施管理程序》，确定、提供并维护所需的基础设施，以运行过程并获得合格产品和服务。所需的基础设施包括：建筑物和相关设施、设备（包括硬件和软件）、运输资源、信息和</w:t>
            </w:r>
            <w:r>
              <w:rPr>
                <w:rFonts w:hint="eastAsia" w:ascii="宋体" w:hAnsi="宋体"/>
                <w:sz w:val="20"/>
                <w:szCs w:val="20"/>
                <w:lang w:val="en-US" w:eastAsia="zh-CN"/>
              </w:rPr>
              <w:t>服装机械设备及配件</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360" w:lineRule="auto"/>
              <w:ind w:firstLine="400" w:firstLineChars="200"/>
              <w:rPr>
                <w:rFonts w:ascii="宋体"/>
                <w:sz w:val="20"/>
                <w:szCs w:val="20"/>
              </w:rPr>
            </w:pPr>
            <w:r>
              <w:rPr>
                <w:rFonts w:hint="eastAsia" w:ascii="宋体" w:hAnsi="宋体"/>
                <w:sz w:val="20"/>
                <w:szCs w:val="20"/>
              </w:rPr>
              <w:t>公司确定、提供并维护过程运行所需的环境，以运行过程并获得合格产品和服务。</w:t>
            </w:r>
          </w:p>
          <w:p>
            <w:pPr>
              <w:spacing w:line="360" w:lineRule="auto"/>
              <w:ind w:firstLine="400" w:firstLineChars="200"/>
              <w:rPr>
                <w:rFonts w:ascii="宋体"/>
                <w:sz w:val="20"/>
                <w:szCs w:val="20"/>
              </w:rPr>
            </w:pPr>
            <w:r>
              <w:rPr>
                <w:rFonts w:hint="eastAsia" w:ascii="宋体" w:hAnsi="宋体"/>
                <w:sz w:val="20"/>
                <w:szCs w:val="20"/>
              </w:rPr>
              <w:t>这些过程运行环境可能是人为因素与物理因素的结合，如：</w:t>
            </w:r>
          </w:p>
          <w:p>
            <w:pPr>
              <w:numPr>
                <w:ilvl w:val="0"/>
                <w:numId w:val="7"/>
              </w:numPr>
              <w:spacing w:line="360" w:lineRule="auto"/>
              <w:rPr>
                <w:rFonts w:ascii="宋体"/>
                <w:sz w:val="20"/>
                <w:szCs w:val="20"/>
              </w:rPr>
            </w:pPr>
            <w:r>
              <w:rPr>
                <w:rFonts w:hint="eastAsia" w:ascii="宋体" w:hAnsi="宋体"/>
                <w:sz w:val="20"/>
                <w:szCs w:val="20"/>
              </w:rPr>
              <w:t>社会因素（如无歧视、和谐稳定、无对抗）；</w:t>
            </w:r>
          </w:p>
          <w:p>
            <w:pPr>
              <w:numPr>
                <w:ilvl w:val="0"/>
                <w:numId w:val="7"/>
              </w:numPr>
              <w:spacing w:line="360" w:lineRule="auto"/>
              <w:rPr>
                <w:rFonts w:ascii="宋体"/>
                <w:sz w:val="20"/>
                <w:szCs w:val="20"/>
              </w:rPr>
            </w:pPr>
            <w:r>
              <w:rPr>
                <w:rFonts w:hint="eastAsia" w:ascii="宋体" w:hAnsi="宋体"/>
                <w:sz w:val="20"/>
                <w:szCs w:val="20"/>
              </w:rPr>
              <w:t>心理因素（如缓解紧张情绪、预防职业倦怠、保证情绪稳定）；</w:t>
            </w:r>
          </w:p>
          <w:p>
            <w:pPr>
              <w:numPr>
                <w:ilvl w:val="0"/>
                <w:numId w:val="7"/>
              </w:numPr>
              <w:spacing w:line="360" w:lineRule="auto"/>
              <w:rPr>
                <w:rFonts w:ascii="宋体"/>
                <w:sz w:val="20"/>
                <w:szCs w:val="20"/>
              </w:rPr>
            </w:pPr>
            <w:r>
              <w:rPr>
                <w:rFonts w:hint="eastAsia" w:ascii="宋体" w:hAnsi="宋体"/>
                <w:sz w:val="20"/>
                <w:szCs w:val="20"/>
              </w:rPr>
              <w:t>物理因素（如温度、热量、湿度、照明、空气流通、卫生、噪声等）；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b/>
                <w:bCs/>
              </w:rPr>
              <w:t>监视和测量资源</w:t>
            </w:r>
          </w:p>
          <w:p>
            <w:pPr>
              <w:spacing w:line="360" w:lineRule="auto"/>
              <w:ind w:firstLine="400" w:firstLineChars="200"/>
              <w:rPr>
                <w:rFonts w:ascii="宋体"/>
                <w:sz w:val="20"/>
                <w:szCs w:val="20"/>
              </w:rPr>
            </w:pPr>
            <w:r>
              <w:rPr>
                <w:rFonts w:hint="eastAsia" w:ascii="宋体" w:hAnsi="宋体"/>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pPr>
              <w:spacing w:line="360" w:lineRule="auto"/>
              <w:ind w:firstLine="400" w:firstLineChars="200"/>
              <w:rPr>
                <w:rFonts w:ascii="宋体"/>
                <w:sz w:val="20"/>
                <w:szCs w:val="20"/>
              </w:rPr>
            </w:pPr>
            <w:r>
              <w:rPr>
                <w:rFonts w:hint="eastAsia" w:ascii="宋体" w:hAnsi="宋体"/>
                <w:sz w:val="20"/>
                <w:szCs w:val="20"/>
                <w:lang w:val="en-US" w:eastAsia="zh-CN"/>
              </w:rPr>
              <w:t>办公室</w:t>
            </w:r>
            <w:r>
              <w:rPr>
                <w:rFonts w:hint="eastAsia" w:ascii="宋体" w:hAnsi="宋体"/>
                <w:sz w:val="20"/>
                <w:szCs w:val="20"/>
              </w:rPr>
              <w:t>负责保留作为监视和测量资源适合其用途的证据的形成文件的信息。</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360" w:lineRule="auto"/>
              <w:ind w:firstLine="400" w:firstLineChars="200"/>
              <w:rPr>
                <w:rFonts w:ascii="宋体"/>
                <w:sz w:val="20"/>
                <w:szCs w:val="20"/>
              </w:rPr>
            </w:pPr>
            <w:r>
              <w:rPr>
                <w:rFonts w:hint="eastAsia" w:ascii="宋体" w:hAnsi="宋体"/>
                <w:sz w:val="20"/>
                <w:szCs w:val="20"/>
              </w:rPr>
              <w:t>公司确定运行过程所需的知识，以获得合格产品和服务；公司的知识可以基于内部来源和外部来源，包括但不限于：</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设计、工艺、制造、服务过程中获取的经验教训、失效分析等，包括对各类疏失、突发事件、特殊质量问题的应对措施等；</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典型、批量、惯性问题的发生情况处置方法、结果记录、分析和结论意见等；</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先进的管理理念、管理方法、最佳实践、工作方法、技能技艺、检测方法等；</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科研成果、工艺成果、</w:t>
            </w:r>
            <w:r>
              <w:rPr>
                <w:rFonts w:ascii="宋体" w:hAnsi="宋体"/>
                <w:sz w:val="20"/>
                <w:szCs w:val="20"/>
              </w:rPr>
              <w:t>QC</w:t>
            </w:r>
            <w:r>
              <w:rPr>
                <w:rFonts w:hint="eastAsia" w:ascii="宋体" w:hAnsi="宋体"/>
                <w:sz w:val="20"/>
                <w:szCs w:val="20"/>
              </w:rPr>
              <w:t>成果等；</w:t>
            </w:r>
          </w:p>
          <w:p>
            <w:pPr>
              <w:spacing w:line="360" w:lineRule="auto"/>
              <w:ind w:firstLine="400" w:firstLineChars="200"/>
              <w:rPr>
                <w:rFonts w:ascii="宋体"/>
                <w:sz w:val="20"/>
                <w:szCs w:val="20"/>
              </w:rPr>
            </w:pPr>
            <w:r>
              <w:rPr>
                <w:rFonts w:ascii="宋体" w:hAnsi="宋体"/>
                <w:sz w:val="20"/>
                <w:szCs w:val="20"/>
              </w:rPr>
              <w:t>e)</w:t>
            </w:r>
            <w:r>
              <w:rPr>
                <w:rFonts w:hint="eastAsia" w:ascii="宋体" w:hAnsi="宋体"/>
                <w:sz w:val="20"/>
                <w:szCs w:val="20"/>
              </w:rPr>
              <w:t>产品性能说明书、产品使用说明书、产品故障分析、产品维护指南等；</w:t>
            </w:r>
          </w:p>
          <w:p>
            <w:pPr>
              <w:spacing w:line="360" w:lineRule="auto"/>
              <w:ind w:firstLine="400" w:firstLineChars="200"/>
              <w:rPr>
                <w:rFonts w:ascii="宋体"/>
                <w:sz w:val="20"/>
                <w:szCs w:val="20"/>
              </w:rPr>
            </w:pPr>
            <w:r>
              <w:rPr>
                <w:rFonts w:ascii="宋体" w:hAnsi="宋体"/>
                <w:sz w:val="20"/>
                <w:szCs w:val="20"/>
              </w:rPr>
              <w:t>f)</w:t>
            </w:r>
            <w:r>
              <w:rPr>
                <w:rFonts w:hint="eastAsia" w:ascii="宋体" w:hAnsi="宋体"/>
                <w:sz w:val="20"/>
                <w:szCs w:val="20"/>
              </w:rPr>
              <w:t>知识产权（含专利和企业标准）等。</w:t>
            </w:r>
          </w:p>
          <w:p>
            <w:pPr>
              <w:spacing w:line="360" w:lineRule="auto"/>
              <w:ind w:firstLine="400" w:firstLineChars="200"/>
              <w:rPr>
                <w:rFonts w:ascii="宋体"/>
                <w:sz w:val="20"/>
                <w:szCs w:val="20"/>
              </w:rPr>
            </w:pPr>
            <w:r>
              <w:rPr>
                <w:rFonts w:hint="eastAsia" w:ascii="宋体" w:hAnsi="宋体"/>
                <w:sz w:val="20"/>
                <w:szCs w:val="20"/>
              </w:rPr>
              <w:t>公司</w:t>
            </w:r>
            <w:r>
              <w:rPr>
                <w:rFonts w:hint="eastAsia" w:ascii="宋体" w:hAnsi="宋体"/>
                <w:sz w:val="20"/>
                <w:szCs w:val="20"/>
                <w:lang w:val="en-US" w:eastAsia="zh-CN"/>
              </w:rPr>
              <w:t>行政部</w:t>
            </w:r>
            <w:r>
              <w:rPr>
                <w:rFonts w:hint="eastAsia" w:ascii="宋体" w:hAnsi="宋体"/>
                <w:sz w:val="20"/>
                <w:szCs w:val="20"/>
              </w:rPr>
              <w:t>负责保持这些知识，并确保在需要范围内可得到。</w:t>
            </w:r>
          </w:p>
          <w:p>
            <w:pPr>
              <w:spacing w:line="360" w:lineRule="auto"/>
              <w:ind w:firstLine="400" w:firstLineChars="200"/>
              <w:rPr>
                <w:rFonts w:ascii="宋体" w:hAnsi="宋体"/>
                <w:b/>
                <w:sz w:val="21"/>
                <w:szCs w:val="21"/>
              </w:rPr>
            </w:pPr>
            <w:r>
              <w:rPr>
                <w:rFonts w:hint="eastAsia" w:ascii="宋体" w:hAnsi="宋体"/>
                <w:sz w:val="20"/>
                <w:szCs w:val="20"/>
              </w:rPr>
              <w:t>公司为应对不断变化的需求和发展趋势，考虑现有的知识，确定如何获取理多必要的知识，并进行更新。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szCs w:val="20"/>
                <w:lang w:val="en-US" w:eastAsia="zh-CN"/>
              </w:rPr>
              <w:t>消防栓</w:t>
            </w:r>
            <w:r>
              <w:rPr>
                <w:rFonts w:hint="eastAsia" w:ascii="宋体" w:hAnsi="宋体"/>
                <w:b/>
                <w:color w:val="000000"/>
                <w:sz w:val="20"/>
                <w:szCs w:val="20"/>
                <w:lang w:eastAsia="zh-CN"/>
              </w:rPr>
              <w:t>、</w:t>
            </w:r>
            <w:r>
              <w:rPr>
                <w:rFonts w:hint="eastAsia" w:ascii="宋体" w:hAnsi="宋体"/>
                <w:b/>
                <w:color w:val="000000"/>
                <w:sz w:val="20"/>
                <w:szCs w:val="20"/>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b/>
                <w:bCs/>
                <w:sz w:val="21"/>
                <w:szCs w:val="21"/>
              </w:rPr>
            </w:pPr>
            <w:r>
              <w:rPr>
                <w:b/>
                <w:bCs/>
                <w:sz w:val="21"/>
                <w:szCs w:val="21"/>
              </w:rPr>
              <w:t xml:space="preserve">1. </w:t>
            </w:r>
            <w:r>
              <w:rPr>
                <w:rFonts w:hint="eastAsia"/>
                <w:b/>
                <w:bCs/>
                <w:sz w:val="21"/>
                <w:szCs w:val="21"/>
              </w:rPr>
              <w:t>针对方针的管理职责评审</w:t>
            </w:r>
          </w:p>
          <w:p>
            <w:pPr>
              <w:spacing w:line="300" w:lineRule="exact"/>
              <w:ind w:left="1"/>
              <w:rPr>
                <w:rFonts w:hint="eastAsia"/>
                <w:b/>
                <w:bCs/>
                <w:sz w:val="21"/>
                <w:szCs w:val="21"/>
              </w:rPr>
            </w:pPr>
            <w:r>
              <w:rPr>
                <w:rFonts w:hint="eastAsia"/>
                <w:b/>
                <w:bCs/>
                <w:sz w:val="21"/>
                <w:szCs w:val="21"/>
              </w:rPr>
              <w:t>（包括针对组织宗旨，制定相关管理方针政策、确保方针为员工理解并在运营中实施，监视方针的实施并评审方针的适宜性）</w:t>
            </w:r>
          </w:p>
          <w:p>
            <w:pPr>
              <w:spacing w:line="360" w:lineRule="auto"/>
              <w:ind w:firstLine="400" w:firstLineChars="200"/>
            </w:pPr>
            <w:r>
              <w:rPr>
                <w:rFonts w:hint="eastAsia"/>
                <w:color w:val="000000"/>
                <w:sz w:val="20"/>
                <w:szCs w:val="20"/>
              </w:rPr>
              <w:t>方针符合组织的宗旨，</w:t>
            </w:r>
            <w:r>
              <w:rPr>
                <w:rFonts w:hint="eastAsia" w:ascii="宋体" w:hAnsi="宋体"/>
                <w:sz w:val="20"/>
                <w:szCs w:val="20"/>
              </w:rPr>
              <w:t>一体化管理方针形成文件传达到全体员工，确保得到有效控制，使全体员工正确理解并坚决执行，且应定期对其适宜性进行评审。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内部沟通的情况：内部沟通方式：文件、开会、微信等</w:t>
            </w:r>
          </w:p>
          <w:p>
            <w:pPr>
              <w:spacing w:line="240" w:lineRule="exact"/>
              <w:rPr>
                <w:rFonts w:ascii="楷体_GB2312" w:eastAsia="楷体_GB2312"/>
                <w:b/>
                <w:color w:val="000000"/>
                <w:sz w:val="20"/>
                <w:szCs w:val="20"/>
              </w:rPr>
            </w:pPr>
            <w:r>
              <w:rPr>
                <w:rFonts w:ascii="楷体_GB2312" w:eastAsia="楷体_GB2312"/>
                <w:b/>
                <w:color w:val="000000"/>
                <w:sz w:val="20"/>
                <w:szCs w:val="20"/>
              </w:rPr>
              <w:t xml:space="preserve">                </w:t>
            </w:r>
            <w:r>
              <w:rPr>
                <w:rFonts w:hint="eastAsia" w:ascii="楷体_GB2312" w:eastAsia="楷体_GB2312"/>
                <w:b/>
                <w:color w:val="000000"/>
                <w:sz w:val="20"/>
                <w:szCs w:val="20"/>
              </w:rPr>
              <w:t>内部沟通的效果：有效</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组织对外联络，关注顾客的感受情况（</w:t>
            </w:r>
            <w:r>
              <w:rPr>
                <w:rFonts w:ascii="楷体_GB2312" w:eastAsia="楷体_GB2312"/>
                <w:b/>
                <w:color w:val="000000"/>
                <w:sz w:val="20"/>
                <w:szCs w:val="20"/>
              </w:rPr>
              <w:t>QMS</w:t>
            </w:r>
            <w:r>
              <w:rPr>
                <w:rFonts w:hint="eastAsia" w:ascii="楷体_GB2312" w:eastAsia="楷体_GB2312"/>
                <w:b/>
                <w:color w:val="000000"/>
                <w:sz w:val="20"/>
                <w:szCs w:val="20"/>
              </w:rPr>
              <w:t>）：顾客满意度评价、合同等</w:t>
            </w:r>
          </w:p>
          <w:p>
            <w:pPr>
              <w:spacing w:line="240" w:lineRule="exact"/>
              <w:rPr>
                <w:rFonts w:ascii="楷体_GB2312" w:eastAsia="楷体_GB2312"/>
                <w:b/>
                <w:color w:val="000000"/>
                <w:sz w:val="20"/>
                <w:szCs w:val="20"/>
              </w:rPr>
            </w:pPr>
          </w:p>
          <w:p>
            <w:pPr>
              <w:spacing w:line="360" w:lineRule="auto"/>
              <w:ind w:firstLine="402" w:firstLineChars="200"/>
              <w:rPr>
                <w:rFonts w:ascii="宋体"/>
                <w:sz w:val="20"/>
                <w:szCs w:val="20"/>
              </w:rPr>
            </w:pPr>
            <w:r>
              <w:rPr>
                <w:rFonts w:hint="eastAsia" w:ascii="楷体_GB2312" w:eastAsia="楷体_GB2312"/>
                <w:b/>
                <w:color w:val="000000"/>
                <w:sz w:val="20"/>
                <w:szCs w:val="20"/>
              </w:rPr>
              <w:t>外部信息的接收、成文并答复的情况（</w:t>
            </w:r>
            <w:r>
              <w:rPr>
                <w:rFonts w:ascii="楷体_GB2312" w:eastAsia="楷体_GB2312"/>
                <w:b/>
                <w:color w:val="000000"/>
                <w:sz w:val="20"/>
                <w:szCs w:val="20"/>
              </w:rPr>
              <w:t>E</w:t>
            </w:r>
            <w:r>
              <w:rPr>
                <w:rFonts w:hint="eastAsia" w:ascii="楷体_GB2312" w:eastAsia="楷体_GB2312"/>
                <w:b/>
                <w:color w:val="000000"/>
                <w:sz w:val="20"/>
                <w:szCs w:val="20"/>
              </w:rPr>
              <w:t>、</w:t>
            </w:r>
            <w:r>
              <w:rPr>
                <w:rFonts w:ascii="楷体_GB2312" w:eastAsia="楷体_GB2312"/>
                <w:b/>
                <w:color w:val="000000"/>
                <w:sz w:val="20"/>
                <w:szCs w:val="20"/>
              </w:rPr>
              <w:t>S</w:t>
            </w:r>
            <w:r>
              <w:rPr>
                <w:rFonts w:hint="eastAsia" w:ascii="楷体_GB2312" w:eastAsia="楷体_GB2312"/>
                <w:b/>
                <w:color w:val="000000"/>
                <w:sz w:val="20"/>
                <w:szCs w:val="20"/>
              </w:rPr>
              <w:t>填写）：</w:t>
            </w:r>
            <w:r>
              <w:rPr>
                <w:rFonts w:hint="eastAsia" w:ascii="楷体_GB2312" w:eastAsia="楷体_GB2312"/>
                <w:b w:val="0"/>
                <w:bCs/>
                <w:color w:val="000000"/>
                <w:sz w:val="20"/>
                <w:szCs w:val="20"/>
                <w:lang w:val="en-US" w:eastAsia="zh-CN"/>
              </w:rPr>
              <w:t>办公室</w:t>
            </w:r>
            <w:r>
              <w:rPr>
                <w:rFonts w:hint="eastAsia" w:ascii="宋体" w:hAnsi="宋体"/>
                <w:sz w:val="20"/>
                <w:szCs w:val="20"/>
              </w:rPr>
              <w:t>按建立的信息交流过程的规定及公司合规义务的要求，就三标一体化管理体系的相关信息进行外部信息交流，与进入工作场所的承包方和其他访问者进行沟通；接收、记录和回应来自外部相关方的相关沟通。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重要环境因素信息对外交流情况（</w:t>
            </w:r>
            <w:r>
              <w:rPr>
                <w:rFonts w:ascii="楷体_GB2312" w:eastAsia="楷体_GB2312"/>
                <w:b/>
                <w:color w:val="000000"/>
                <w:sz w:val="20"/>
                <w:szCs w:val="20"/>
              </w:rPr>
              <w:t>EMS</w:t>
            </w:r>
            <w:r>
              <w:rPr>
                <w:rFonts w:hint="eastAsia" w:ascii="楷体_GB2312" w:eastAsia="楷体_GB2312"/>
                <w:b/>
                <w:color w:val="000000"/>
                <w:sz w:val="20"/>
                <w:szCs w:val="20"/>
              </w:rPr>
              <w:t>填写）：告之员工和外来人员并张贴警示标记。</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ascii="楷体_GB2312" w:eastAsia="楷体_GB2312"/>
                <w:b/>
                <w:color w:val="000000"/>
                <w:sz w:val="20"/>
                <w:szCs w:val="20"/>
              </w:rPr>
              <w:t>OHSMS</w:t>
            </w:r>
            <w:r>
              <w:rPr>
                <w:rFonts w:hint="eastAsia" w:ascii="楷体_GB2312" w:eastAsia="楷体_GB2312"/>
                <w:b/>
                <w:color w:val="000000"/>
                <w:sz w:val="20"/>
                <w:szCs w:val="20"/>
              </w:rPr>
              <w:t>事务代表协商和交流的情况（</w:t>
            </w:r>
            <w:r>
              <w:rPr>
                <w:rFonts w:ascii="楷体_GB2312" w:eastAsia="楷体_GB2312"/>
                <w:b/>
                <w:color w:val="000000"/>
                <w:sz w:val="20"/>
                <w:szCs w:val="20"/>
              </w:rPr>
              <w:t>OHSMS</w:t>
            </w:r>
            <w:r>
              <w:rPr>
                <w:rFonts w:hint="eastAsia" w:ascii="楷体_GB2312" w:eastAsia="楷体_GB2312"/>
                <w:b/>
                <w:color w:val="000000"/>
                <w:sz w:val="20"/>
                <w:szCs w:val="20"/>
              </w:rPr>
              <w:t>填写）：告之员工谁是</w:t>
            </w:r>
            <w:r>
              <w:rPr>
                <w:rFonts w:ascii="楷体_GB2312" w:eastAsia="楷体_GB2312"/>
                <w:b/>
                <w:color w:val="000000"/>
                <w:sz w:val="20"/>
                <w:szCs w:val="20"/>
              </w:rPr>
              <w:t>OHSMS</w:t>
            </w:r>
            <w:r>
              <w:rPr>
                <w:rFonts w:hint="eastAsia" w:ascii="楷体_GB2312" w:eastAsia="楷体_GB2312"/>
                <w:b/>
                <w:color w:val="000000"/>
                <w:sz w:val="20"/>
                <w:szCs w:val="20"/>
              </w:rPr>
              <w:t>事务代表，参与公司的职业健康安全事务。</w:t>
            </w:r>
          </w:p>
          <w:p>
            <w:pPr>
              <w:spacing w:line="240" w:lineRule="exact"/>
              <w:rPr>
                <w:rFonts w:ascii="宋体" w:hAnsi="宋体"/>
                <w:b/>
                <w:sz w:val="21"/>
                <w:szCs w:val="21"/>
              </w:rPr>
            </w:pPr>
            <w:r>
              <w:rPr>
                <w:rFonts w:hint="eastAsia" w:ascii="楷体_GB2312" w:eastAsia="楷体_GB2312"/>
                <w:b/>
                <w:color w:val="000000"/>
                <w:szCs w:val="21"/>
              </w:rPr>
              <w:t>与相关方协商的情况（</w:t>
            </w:r>
            <w:r>
              <w:rPr>
                <w:rFonts w:ascii="楷体_GB2312" w:eastAsia="楷体_GB2312"/>
                <w:b/>
                <w:color w:val="000000"/>
                <w:szCs w:val="21"/>
              </w:rPr>
              <w:t>OHSMS</w:t>
            </w:r>
            <w:r>
              <w:rPr>
                <w:rFonts w:hint="eastAsia" w:ascii="楷体_GB2312" w:eastAsia="楷体_GB2312"/>
                <w:b/>
                <w:color w:val="000000"/>
                <w:szCs w:val="21"/>
              </w:rPr>
              <w:t>填写）：</w:t>
            </w:r>
            <w:r>
              <w:rPr>
                <w:rFonts w:hint="eastAsia" w:ascii="宋体" w:hAnsi="宋体"/>
                <w:sz w:val="20"/>
                <w:szCs w:val="20"/>
              </w:rPr>
              <w:t>与承包方就影响他们的职业健康安全变更进行协商并确保与相关的外部相关方就有关的职业健康安全事务进行协商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b/>
                <w:color w:val="000000"/>
                <w:sz w:val="20"/>
                <w:szCs w:val="20"/>
              </w:rPr>
              <w:t>销售为重要过程，公司实施严格控制，做好采购产品的质量控制，效果明显，未发生质量纠纷。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rPr>
                <w:b/>
                <w:color w:val="000000"/>
                <w:sz w:val="21"/>
                <w:szCs w:val="21"/>
              </w:rPr>
            </w:pPr>
            <w:r>
              <w:rPr>
                <w:rFonts w:hint="eastAsia"/>
                <w:b/>
                <w:color w:val="000000"/>
                <w:sz w:val="21"/>
                <w:szCs w:val="21"/>
              </w:rPr>
              <w:t>企业采用标准：</w:t>
            </w:r>
            <w:r>
              <w:rPr>
                <w:sz w:val="21"/>
                <w:szCs w:val="21"/>
              </w:rPr>
              <w:t>工业用缝纫机高速双针平缝机旋梭</w:t>
            </w:r>
            <w:r>
              <w:rPr>
                <w:b/>
                <w:color w:val="000000"/>
                <w:sz w:val="21"/>
                <w:szCs w:val="21"/>
              </w:rPr>
              <w:t xml:space="preserve"> </w:t>
            </w:r>
            <w:r>
              <w:rPr>
                <w:sz w:val="21"/>
                <w:szCs w:val="21"/>
              </w:rPr>
              <w:t>QB/4600</w:t>
            </w:r>
            <w:r>
              <w:rPr>
                <w:rFonts w:hint="eastAsia"/>
                <w:sz w:val="21"/>
                <w:szCs w:val="21"/>
              </w:rPr>
              <w:t>-</w:t>
            </w:r>
            <w:r>
              <w:rPr>
                <w:sz w:val="21"/>
                <w:szCs w:val="21"/>
              </w:rPr>
              <w:t>2013</w:t>
            </w:r>
          </w:p>
          <w:p>
            <w:pPr>
              <w:rPr>
                <w:rFonts w:hint="eastAsia"/>
                <w:sz w:val="21"/>
                <w:szCs w:val="21"/>
              </w:rPr>
            </w:pPr>
            <w:r>
              <w:rPr>
                <w:rFonts w:hint="eastAsia"/>
                <w:sz w:val="21"/>
                <w:szCs w:val="21"/>
              </w:rPr>
              <w:t>工</w:t>
            </w:r>
            <w:r>
              <w:rPr>
                <w:sz w:val="21"/>
                <w:szCs w:val="21"/>
              </w:rPr>
              <w:t>业用缝纫机高速双针平缝机分离式针杆</w:t>
            </w:r>
            <w:r>
              <w:rPr>
                <w:rFonts w:hint="eastAsia"/>
                <w:sz w:val="21"/>
                <w:szCs w:val="21"/>
              </w:rPr>
              <w:t>架</w:t>
            </w:r>
            <w:r>
              <w:rPr>
                <w:sz w:val="21"/>
                <w:szCs w:val="21"/>
              </w:rPr>
              <w:t>FQB/4605</w:t>
            </w:r>
            <w:r>
              <w:rPr>
                <w:rFonts w:hint="eastAsia"/>
                <w:sz w:val="21"/>
                <w:szCs w:val="21"/>
              </w:rPr>
              <w:t>-</w:t>
            </w:r>
            <w:r>
              <w:rPr>
                <w:sz w:val="21"/>
                <w:szCs w:val="21"/>
              </w:rPr>
              <w:t>2013</w:t>
            </w:r>
          </w:p>
          <w:p>
            <w:pPr>
              <w:rPr>
                <w:sz w:val="21"/>
                <w:szCs w:val="21"/>
              </w:rPr>
            </w:pPr>
            <w:r>
              <w:rPr>
                <w:sz w:val="21"/>
                <w:szCs w:val="21"/>
              </w:rPr>
              <w:t>业用缝纫机单</w:t>
            </w:r>
            <w:r>
              <w:rPr>
                <w:rFonts w:hint="eastAsia"/>
                <w:sz w:val="21"/>
                <w:szCs w:val="21"/>
              </w:rPr>
              <w:t>（双）</w:t>
            </w:r>
            <w:r>
              <w:rPr>
                <w:sz w:val="21"/>
                <w:szCs w:val="21"/>
              </w:rPr>
              <w:t>针下送料立柱式平缝机头QB/T2816</w:t>
            </w:r>
            <w:r>
              <w:rPr>
                <w:rFonts w:hint="eastAsia"/>
                <w:sz w:val="21"/>
                <w:szCs w:val="21"/>
              </w:rPr>
              <w:t>-</w:t>
            </w:r>
            <w:r>
              <w:rPr>
                <w:sz w:val="21"/>
                <w:szCs w:val="21"/>
              </w:rPr>
              <w:t>2006</w:t>
            </w:r>
          </w:p>
          <w:p>
            <w:pPr>
              <w:rPr>
                <w:rFonts w:hint="eastAsia" w:eastAsia="宋体"/>
                <w:b/>
                <w:color w:val="000000"/>
                <w:sz w:val="21"/>
                <w:szCs w:val="21"/>
                <w:lang w:val="en-US" w:eastAsia="zh-CN"/>
              </w:rPr>
            </w:pPr>
            <w:r>
              <w:rPr>
                <w:rFonts w:hint="eastAsia"/>
                <w:sz w:val="21"/>
                <w:szCs w:val="21"/>
              </w:rPr>
              <w:fldChar w:fldCharType="begin"/>
            </w:r>
            <w:r>
              <w:rPr>
                <w:rFonts w:hint="eastAsia"/>
                <w:sz w:val="21"/>
                <w:szCs w:val="21"/>
              </w:rPr>
              <w:instrText xml:space="preserve"> HYPERLINK "http://www.zbgb.org/2/StandardDetail2425903.htm" \o "工业用缝纫机 缝纫机、缝纫单元和缝纫系统的安全要求" \t "http://www.zbgb.org/_blank" </w:instrText>
            </w:r>
            <w:r>
              <w:rPr>
                <w:rFonts w:hint="eastAsia"/>
                <w:sz w:val="21"/>
                <w:szCs w:val="21"/>
              </w:rPr>
              <w:fldChar w:fldCharType="separate"/>
            </w:r>
            <w:r>
              <w:rPr>
                <w:rFonts w:hint="eastAsia"/>
                <w:sz w:val="21"/>
                <w:szCs w:val="21"/>
              </w:rPr>
              <w:t>工业用缝纫机 缝纫机、缝纫单元和缝纫系统的安全要求</w:t>
            </w:r>
            <w:r>
              <w:rPr>
                <w:rFonts w:hint="eastAsia"/>
                <w:sz w:val="21"/>
                <w:szCs w:val="21"/>
              </w:rPr>
              <w:fldChar w:fldCharType="end"/>
            </w:r>
            <w:r>
              <w:rPr>
                <w:b/>
                <w:color w:val="000000"/>
                <w:sz w:val="21"/>
                <w:szCs w:val="21"/>
              </w:rPr>
              <w:t xml:space="preserve"> </w:t>
            </w:r>
            <w:r>
              <w:rPr>
                <w:rFonts w:hint="eastAsia"/>
                <w:sz w:val="21"/>
                <w:szCs w:val="21"/>
              </w:rPr>
              <w:fldChar w:fldCharType="begin"/>
            </w:r>
            <w:r>
              <w:rPr>
                <w:rFonts w:hint="eastAsia"/>
                <w:sz w:val="21"/>
                <w:szCs w:val="21"/>
              </w:rPr>
              <w:instrText xml:space="preserve"> HYPERLINK "http://www.zbgb.org/2/StandardDetail2425903.htm" \o "工业用缝纫机 缝纫机、缝纫单元和缝纫系统的安全要求" \t "http://www.zbgb.org/_blank" </w:instrText>
            </w:r>
            <w:r>
              <w:rPr>
                <w:rFonts w:hint="eastAsia"/>
                <w:sz w:val="21"/>
                <w:szCs w:val="21"/>
              </w:rPr>
              <w:fldChar w:fldCharType="separate"/>
            </w:r>
            <w:r>
              <w:rPr>
                <w:rFonts w:hint="eastAsia"/>
                <w:sz w:val="21"/>
                <w:szCs w:val="21"/>
              </w:rPr>
              <w:t>GB/T 30421-2013</w:t>
            </w:r>
            <w:r>
              <w:rPr>
                <w:rFonts w:hint="eastAsia"/>
                <w:sz w:val="21"/>
                <w:szCs w:val="21"/>
              </w:rPr>
              <w:fldChar w:fldCharType="end"/>
            </w:r>
            <w:r>
              <w:rPr>
                <w:rFonts w:hint="eastAsia"/>
                <w:sz w:val="21"/>
                <w:szCs w:val="21"/>
                <w:lang w:val="en-US" w:eastAsia="zh-CN"/>
              </w:rPr>
              <w:t>等</w:t>
            </w:r>
          </w:p>
          <w:p>
            <w:pPr>
              <w:spacing w:line="300" w:lineRule="exact"/>
              <w:rPr>
                <w:b/>
                <w:color w:val="000000"/>
                <w:sz w:val="21"/>
                <w:szCs w:val="21"/>
              </w:rPr>
            </w:pPr>
            <w:r>
              <w:rPr>
                <w:rFonts w:hint="eastAsia"/>
                <w:b/>
                <w:color w:val="000000"/>
                <w:sz w:val="21"/>
                <w:szCs w:val="21"/>
              </w:rPr>
              <w:t>企业制定的《销售服务规范》、《原材料入库检验办法》</w:t>
            </w:r>
          </w:p>
          <w:p>
            <w:pPr>
              <w:spacing w:line="30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ind w:firstLine="400" w:firstLineChars="200"/>
              <w:rPr>
                <w:rFonts w:ascii="宋体"/>
                <w:sz w:val="20"/>
                <w:szCs w:val="20"/>
              </w:rPr>
            </w:pPr>
            <w:r>
              <w:rPr>
                <w:rFonts w:hint="eastAsia" w:ascii="宋体" w:hAnsi="宋体"/>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pPr>
              <w:numPr>
                <w:ilvl w:val="0"/>
                <w:numId w:val="8"/>
              </w:numPr>
              <w:spacing w:line="360" w:lineRule="auto"/>
              <w:rPr>
                <w:rFonts w:ascii="宋体"/>
                <w:sz w:val="20"/>
                <w:szCs w:val="20"/>
              </w:rPr>
            </w:pPr>
            <w:r>
              <w:rPr>
                <w:rFonts w:hint="eastAsia" w:ascii="宋体" w:hAnsi="宋体"/>
                <w:sz w:val="20"/>
                <w:szCs w:val="20"/>
              </w:rPr>
              <w:t>纠正；</w:t>
            </w:r>
          </w:p>
          <w:p>
            <w:pPr>
              <w:numPr>
                <w:ilvl w:val="0"/>
                <w:numId w:val="8"/>
              </w:numPr>
              <w:spacing w:line="360" w:lineRule="auto"/>
              <w:rPr>
                <w:rFonts w:ascii="宋体"/>
                <w:sz w:val="20"/>
                <w:szCs w:val="20"/>
              </w:rPr>
            </w:pPr>
            <w:r>
              <w:rPr>
                <w:rFonts w:hint="eastAsia" w:ascii="宋体" w:hAnsi="宋体"/>
                <w:sz w:val="20"/>
                <w:szCs w:val="20"/>
              </w:rPr>
              <w:t>隔离、限制、退货或暂停对产品和服务的提供；</w:t>
            </w:r>
          </w:p>
          <w:p>
            <w:pPr>
              <w:numPr>
                <w:ilvl w:val="0"/>
                <w:numId w:val="8"/>
              </w:numPr>
              <w:spacing w:line="360" w:lineRule="auto"/>
              <w:rPr>
                <w:rFonts w:ascii="宋体"/>
                <w:sz w:val="20"/>
                <w:szCs w:val="20"/>
              </w:rPr>
            </w:pPr>
            <w:r>
              <w:rPr>
                <w:rFonts w:hint="eastAsia" w:ascii="宋体" w:hAnsi="宋体"/>
                <w:sz w:val="20"/>
                <w:szCs w:val="20"/>
              </w:rPr>
              <w:t>告知顾客；</w:t>
            </w:r>
          </w:p>
          <w:p>
            <w:pPr>
              <w:numPr>
                <w:ilvl w:val="0"/>
                <w:numId w:val="8"/>
              </w:numPr>
              <w:spacing w:line="360" w:lineRule="auto"/>
              <w:rPr>
                <w:rFonts w:ascii="宋体"/>
                <w:sz w:val="20"/>
                <w:szCs w:val="20"/>
              </w:rPr>
            </w:pPr>
            <w:r>
              <w:rPr>
                <w:rFonts w:hint="eastAsia" w:ascii="宋体" w:hAnsi="宋体"/>
                <w:sz w:val="20"/>
                <w:szCs w:val="20"/>
              </w:rPr>
              <w:t>获得让步接收的授权。</w:t>
            </w:r>
          </w:p>
          <w:p>
            <w:pPr>
              <w:spacing w:line="360" w:lineRule="auto"/>
              <w:ind w:firstLine="400" w:firstLineChars="200"/>
              <w:rPr>
                <w:rFonts w:ascii="宋体"/>
                <w:sz w:val="20"/>
                <w:szCs w:val="20"/>
              </w:rPr>
            </w:pPr>
            <w:r>
              <w:rPr>
                <w:rFonts w:hint="eastAsia" w:ascii="宋体" w:hAnsi="宋体"/>
                <w:sz w:val="20"/>
                <w:szCs w:val="20"/>
                <w:lang w:val="en-US" w:eastAsia="zh-CN"/>
              </w:rPr>
              <w:t>办公室</w:t>
            </w:r>
            <w:r>
              <w:rPr>
                <w:rFonts w:hint="eastAsia" w:ascii="宋体" w:hAnsi="宋体"/>
                <w:sz w:val="20"/>
                <w:szCs w:val="20"/>
              </w:rPr>
              <w:t>负责对不合格输出进行纠正之后的验证，确保其符合要求。</w:t>
            </w:r>
          </w:p>
          <w:p>
            <w:pPr>
              <w:spacing w:line="360" w:lineRule="auto"/>
              <w:ind w:firstLine="400" w:firstLineChars="200"/>
              <w:rPr>
                <w:rFonts w:ascii="宋体"/>
                <w:sz w:val="20"/>
                <w:szCs w:val="20"/>
              </w:rPr>
            </w:pPr>
            <w:r>
              <w:rPr>
                <w:rFonts w:ascii="宋体" w:hAnsi="宋体"/>
                <w:sz w:val="20"/>
                <w:szCs w:val="20"/>
              </w:rPr>
              <w:t>8.7.2</w:t>
            </w:r>
            <w:r>
              <w:rPr>
                <w:rFonts w:hint="eastAsia" w:ascii="宋体" w:hAnsi="宋体"/>
                <w:sz w:val="20"/>
                <w:szCs w:val="20"/>
              </w:rPr>
              <w:t>公司保留下列形成文件的信息，以：</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描述不合格；</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描述所采取的措施；</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描述获得的让步；</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识别处置不合格的授权。</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sz w:val="21"/>
                <w:szCs w:val="21"/>
              </w:rPr>
            </w:pPr>
            <w:r>
              <w:rPr>
                <w:rFonts w:hint="eastAsia"/>
                <w:sz w:val="21"/>
                <w:szCs w:val="21"/>
              </w:rPr>
              <w:t>公司重要环境因素控制有效，未对周边环境和相关方产生任何影响。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9"/>
              </w:numPr>
              <w:spacing w:line="240" w:lineRule="exact"/>
              <w:rPr>
                <w:rFonts w:hint="eastAsia"/>
                <w:b/>
                <w:bCs/>
                <w:sz w:val="21"/>
                <w:szCs w:val="21"/>
              </w:rPr>
            </w:pPr>
            <w:r>
              <w:rPr>
                <w:b/>
                <w:bCs/>
                <w:sz w:val="21"/>
                <w:szCs w:val="21"/>
              </w:rPr>
              <w:t>OHSMS</w:t>
            </w:r>
            <w:r>
              <w:rPr>
                <w:rFonts w:hint="eastAsia"/>
                <w:b/>
                <w:bCs/>
                <w:sz w:val="21"/>
                <w:szCs w:val="21"/>
              </w:rPr>
              <w:t>组织对不可接受风险实施控制的结果</w:t>
            </w:r>
          </w:p>
          <w:p>
            <w:pPr>
              <w:spacing w:line="240" w:lineRule="exact"/>
              <w:rPr>
                <w:rFonts w:hint="eastAsia"/>
                <w:sz w:val="21"/>
                <w:szCs w:val="21"/>
              </w:rPr>
            </w:pPr>
            <w:r>
              <w:rPr>
                <w:rFonts w:hint="eastAsia"/>
                <w:sz w:val="21"/>
                <w:szCs w:val="21"/>
              </w:rPr>
              <w:t>火灾、触电不可接受风险控制有效，从未发生任何事故。</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color w:val="000000"/>
                <w:spacing w:val="-4"/>
                <w:sz w:val="20"/>
                <w:szCs w:val="20"/>
              </w:rPr>
              <w:t>编制了火灾、触电应急救援预案，在</w:t>
            </w:r>
            <w:r>
              <w:rPr>
                <w:color w:val="000000"/>
                <w:spacing w:val="-4"/>
                <w:sz w:val="20"/>
                <w:szCs w:val="20"/>
              </w:rPr>
              <w:t>201</w:t>
            </w:r>
            <w:r>
              <w:rPr>
                <w:rFonts w:hint="eastAsia"/>
                <w:color w:val="000000"/>
                <w:spacing w:val="-4"/>
                <w:sz w:val="20"/>
                <w:szCs w:val="20"/>
                <w:lang w:val="en-US" w:eastAsia="zh-CN"/>
              </w:rPr>
              <w:t>9</w:t>
            </w:r>
            <w:r>
              <w:rPr>
                <w:rFonts w:hint="eastAsia"/>
                <w:color w:val="000000"/>
                <w:spacing w:val="-4"/>
                <w:sz w:val="20"/>
                <w:szCs w:val="20"/>
              </w:rPr>
              <w:t>年</w:t>
            </w:r>
            <w:r>
              <w:rPr>
                <w:color w:val="000000"/>
                <w:spacing w:val="-4"/>
                <w:sz w:val="20"/>
                <w:szCs w:val="20"/>
              </w:rPr>
              <w:t>1</w:t>
            </w:r>
            <w:r>
              <w:rPr>
                <w:rFonts w:hint="eastAsia"/>
                <w:color w:val="000000"/>
                <w:spacing w:val="-4"/>
                <w:sz w:val="20"/>
                <w:szCs w:val="20"/>
                <w:lang w:val="en-US" w:eastAsia="zh-CN"/>
              </w:rPr>
              <w:t>0</w:t>
            </w:r>
            <w:r>
              <w:rPr>
                <w:rFonts w:hint="eastAsia"/>
                <w:color w:val="000000"/>
                <w:spacing w:val="-4"/>
                <w:sz w:val="20"/>
                <w:szCs w:val="20"/>
              </w:rPr>
              <w:t>月</w:t>
            </w:r>
            <w:r>
              <w:rPr>
                <w:rFonts w:hint="eastAsia"/>
                <w:color w:val="000000"/>
                <w:spacing w:val="-4"/>
                <w:sz w:val="20"/>
                <w:szCs w:val="20"/>
                <w:lang w:val="en-US" w:eastAsia="zh-CN"/>
              </w:rPr>
              <w:t>30</w:t>
            </w:r>
            <w:r>
              <w:rPr>
                <w:rFonts w:hint="eastAsia"/>
                <w:color w:val="000000"/>
                <w:spacing w:val="-4"/>
                <w:sz w:val="20"/>
                <w:szCs w:val="20"/>
              </w:rPr>
              <w:t>日进行了</w:t>
            </w:r>
            <w:r>
              <w:rPr>
                <w:rFonts w:hint="eastAsia"/>
                <w:color w:val="000000"/>
                <w:spacing w:val="-4"/>
                <w:sz w:val="20"/>
                <w:szCs w:val="20"/>
                <w:lang w:val="en-US" w:eastAsia="zh-CN"/>
              </w:rPr>
              <w:t>触电</w:t>
            </w:r>
            <w:r>
              <w:rPr>
                <w:rFonts w:hint="eastAsia" w:ascii="宋体" w:hAnsi="宋体"/>
                <w:sz w:val="21"/>
                <w:szCs w:val="21"/>
              </w:rPr>
              <w:t>应急预案演练，并对有效性做评价。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rFonts w:hint="eastAsia"/>
                <w:b/>
                <w:color w:val="000000"/>
                <w:sz w:val="20"/>
                <w:szCs w:val="20"/>
              </w:rPr>
              <w:t>每</w:t>
            </w:r>
            <w:r>
              <w:rPr>
                <w:rFonts w:hint="eastAsia"/>
                <w:b/>
                <w:color w:val="000000"/>
                <w:sz w:val="20"/>
                <w:szCs w:val="20"/>
                <w:lang w:val="en-US" w:eastAsia="zh-CN"/>
              </w:rPr>
              <w:t>半年</w:t>
            </w:r>
            <w:r>
              <w:rPr>
                <w:rFonts w:hint="eastAsia"/>
                <w:b/>
                <w:color w:val="000000"/>
                <w:sz w:val="20"/>
                <w:szCs w:val="20"/>
              </w:rPr>
              <w:t>对一体化目标进行定期检查考核，考核部门：</w:t>
            </w:r>
            <w:r>
              <w:rPr>
                <w:rFonts w:hint="eastAsia"/>
                <w:b/>
                <w:color w:val="000000"/>
                <w:sz w:val="20"/>
                <w:szCs w:val="20"/>
                <w:lang w:val="en-US" w:eastAsia="zh-CN"/>
              </w:rPr>
              <w:t>办公室</w:t>
            </w:r>
            <w:r>
              <w:rPr>
                <w:rFonts w:hint="eastAsia"/>
                <w:b/>
                <w:color w:val="000000"/>
                <w:sz w:val="20"/>
                <w:szCs w:val="20"/>
              </w:rPr>
              <w:t>、</w:t>
            </w:r>
            <w:r>
              <w:rPr>
                <w:rFonts w:hint="eastAsia"/>
                <w:b/>
                <w:color w:val="000000"/>
                <w:sz w:val="20"/>
                <w:szCs w:val="20"/>
                <w:lang w:val="en-US" w:eastAsia="zh-CN"/>
              </w:rPr>
              <w:t>采购</w:t>
            </w:r>
            <w:r>
              <w:rPr>
                <w:rFonts w:hint="eastAsia"/>
                <w:b/>
                <w:color w:val="000000"/>
                <w:sz w:val="20"/>
                <w:szCs w:val="20"/>
              </w:rPr>
              <w:t>部、</w:t>
            </w:r>
            <w:r>
              <w:rPr>
                <w:rFonts w:hint="eastAsia"/>
                <w:b/>
                <w:color w:val="000000"/>
                <w:sz w:val="20"/>
                <w:szCs w:val="20"/>
                <w:lang w:val="en-US" w:eastAsia="zh-CN"/>
              </w:rPr>
              <w:t>销售</w:t>
            </w:r>
            <w:r>
              <w:rPr>
                <w:rFonts w:hint="eastAsia"/>
                <w:b/>
                <w:color w:val="000000"/>
                <w:sz w:val="20"/>
                <w:szCs w:val="20"/>
              </w:rPr>
              <w:t>部，从检查的情况看，均能完成目标指标。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10"/>
              </w:numPr>
              <w:spacing w:line="240" w:lineRule="exact"/>
              <w:ind w:left="105" w:hanging="105" w:hangingChars="50"/>
              <w:rPr>
                <w:rFonts w:hint="eastAsia"/>
                <w:b/>
                <w:bCs/>
                <w:sz w:val="21"/>
                <w:szCs w:val="21"/>
              </w:rPr>
            </w:pPr>
            <w:r>
              <w:rPr>
                <w:rFonts w:hint="eastAsia"/>
                <w:b/>
                <w:bCs/>
                <w:sz w:val="21"/>
                <w:szCs w:val="21"/>
              </w:rPr>
              <w:t>顾客满意</w:t>
            </w:r>
          </w:p>
          <w:p>
            <w:pPr>
              <w:pStyle w:val="2"/>
              <w:numPr>
                <w:ilvl w:val="0"/>
                <w:numId w:val="0"/>
              </w:numPr>
            </w:pPr>
            <w:r>
              <w:rPr>
                <w:b/>
                <w:color w:val="000000"/>
                <w:sz w:val="20"/>
                <w:szCs w:val="20"/>
              </w:rPr>
              <w:t>2019</w:t>
            </w:r>
            <w:r>
              <w:rPr>
                <w:rFonts w:hint="eastAsia"/>
                <w:b/>
                <w:color w:val="000000"/>
                <w:sz w:val="20"/>
                <w:szCs w:val="20"/>
              </w:rPr>
              <w:t>年</w:t>
            </w:r>
            <w:r>
              <w:rPr>
                <w:rFonts w:hint="eastAsia"/>
                <w:b/>
                <w:color w:val="000000"/>
                <w:sz w:val="20"/>
                <w:szCs w:val="20"/>
                <w:lang w:val="en-US" w:eastAsia="zh-CN"/>
              </w:rPr>
              <w:t>10</w:t>
            </w:r>
            <w:r>
              <w:rPr>
                <w:rFonts w:hint="eastAsia"/>
                <w:b/>
                <w:color w:val="000000"/>
                <w:sz w:val="20"/>
                <w:szCs w:val="20"/>
              </w:rPr>
              <w:t>月</w:t>
            </w:r>
            <w:r>
              <w:rPr>
                <w:rFonts w:hint="eastAsia"/>
                <w:b/>
                <w:color w:val="000000"/>
                <w:sz w:val="20"/>
                <w:szCs w:val="20"/>
                <w:lang w:val="en-US" w:eastAsia="zh-CN"/>
              </w:rPr>
              <w:t>15-17</w:t>
            </w:r>
            <w:r>
              <w:rPr>
                <w:rFonts w:hint="eastAsia"/>
                <w:b/>
                <w:color w:val="000000"/>
                <w:sz w:val="20"/>
                <w:szCs w:val="20"/>
              </w:rPr>
              <w:t>日共发出顾客满意度调查表</w:t>
            </w:r>
            <w:r>
              <w:rPr>
                <w:rFonts w:hint="eastAsia"/>
                <w:b/>
                <w:color w:val="000000"/>
                <w:sz w:val="20"/>
                <w:szCs w:val="20"/>
                <w:lang w:val="en-US" w:eastAsia="zh-CN"/>
              </w:rPr>
              <w:t>三</w:t>
            </w:r>
            <w:r>
              <w:rPr>
                <w:rFonts w:hint="eastAsia"/>
                <w:b/>
                <w:color w:val="000000"/>
                <w:sz w:val="20"/>
                <w:szCs w:val="20"/>
              </w:rPr>
              <w:t>份，回收</w:t>
            </w:r>
            <w:r>
              <w:rPr>
                <w:rFonts w:hint="eastAsia"/>
                <w:b/>
                <w:color w:val="000000"/>
                <w:sz w:val="20"/>
                <w:szCs w:val="20"/>
                <w:lang w:val="en-US" w:eastAsia="zh-CN"/>
              </w:rPr>
              <w:t>三</w:t>
            </w:r>
            <w:r>
              <w:rPr>
                <w:rFonts w:hint="eastAsia"/>
                <w:b/>
                <w:color w:val="000000"/>
                <w:sz w:val="20"/>
                <w:szCs w:val="20"/>
              </w:rPr>
              <w:t>份，顾客名称：</w:t>
            </w:r>
            <w:r>
              <w:rPr>
                <w:rFonts w:hint="eastAsia" w:ascii="宋体" w:hAnsi="宋体" w:eastAsia="宋体" w:cs="宋体"/>
                <w:color w:val="auto"/>
                <w:sz w:val="21"/>
                <w:szCs w:val="21"/>
                <w:lang w:eastAsia="zh-CN"/>
              </w:rPr>
              <w:t>江西吉瑞实业有限公司</w:t>
            </w:r>
            <w:r>
              <w:rPr>
                <w:rFonts w:hint="eastAsia" w:ascii="宋体" w:hAnsi="宋体" w:cs="宋体"/>
                <w:sz w:val="21"/>
                <w:szCs w:val="21"/>
                <w:lang w:eastAsia="zh-CN"/>
              </w:rPr>
              <w:t>、</w:t>
            </w:r>
            <w:r>
              <w:rPr>
                <w:rFonts w:hint="eastAsia" w:ascii="宋体" w:hAnsi="宋体" w:eastAsia="宋体" w:cs="宋体"/>
                <w:sz w:val="21"/>
                <w:szCs w:val="21"/>
                <w:lang w:eastAsia="zh-CN"/>
              </w:rPr>
              <w:t>江西珠湖</w:t>
            </w:r>
            <w:r>
              <w:rPr>
                <w:rFonts w:hint="eastAsia" w:ascii="宋体" w:hAnsi="宋体" w:eastAsia="宋体" w:cs="宋体"/>
                <w:color w:val="auto"/>
                <w:sz w:val="21"/>
                <w:szCs w:val="21"/>
                <w:lang w:eastAsia="zh-CN"/>
              </w:rPr>
              <w:t>实业有限</w:t>
            </w:r>
            <w:r>
              <w:rPr>
                <w:rFonts w:hint="eastAsia" w:ascii="宋体" w:hAnsi="宋体" w:eastAsia="宋体" w:cs="宋体"/>
                <w:sz w:val="21"/>
                <w:szCs w:val="21"/>
                <w:lang w:eastAsia="zh-CN"/>
              </w:rPr>
              <w:t>公司</w:t>
            </w:r>
            <w:r>
              <w:rPr>
                <w:rFonts w:hint="eastAsia" w:ascii="宋体" w:hAnsi="宋体" w:cs="宋体"/>
                <w:sz w:val="21"/>
                <w:szCs w:val="21"/>
                <w:lang w:eastAsia="zh-CN"/>
              </w:rPr>
              <w:t>、</w:t>
            </w:r>
            <w:r>
              <w:rPr>
                <w:rFonts w:hint="eastAsia" w:ascii="宋体" w:hAnsi="宋体" w:eastAsia="宋体" w:cs="宋体"/>
                <w:bCs/>
                <w:kern w:val="0"/>
                <w:sz w:val="21"/>
                <w:szCs w:val="21"/>
                <w:lang w:eastAsia="zh-CN"/>
              </w:rPr>
              <w:t>江西朱港实业有限公司</w:t>
            </w:r>
            <w:r>
              <w:rPr>
                <w:rFonts w:hint="eastAsia"/>
                <w:b/>
                <w:color w:val="000000"/>
                <w:sz w:val="21"/>
                <w:szCs w:val="21"/>
              </w:rPr>
              <w:t>，得分为</w:t>
            </w:r>
            <w:r>
              <w:rPr>
                <w:rFonts w:hint="eastAsia"/>
                <w:b/>
                <w:color w:val="000000"/>
                <w:sz w:val="21"/>
                <w:szCs w:val="21"/>
                <w:lang w:val="en-US" w:eastAsia="zh-CN"/>
              </w:rPr>
              <w:t>97</w:t>
            </w:r>
            <w:r>
              <w:rPr>
                <w:rFonts w:hint="eastAsia"/>
                <w:b/>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bCs/>
                <w:sz w:val="21"/>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sz w:val="21"/>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lang w:val="en-US" w:eastAsia="zh-CN"/>
              </w:rPr>
              <w:t>无</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hint="eastAsia" w:ascii="宋体" w:hAnsi="宋体" w:eastAsia="宋体"/>
                <w:b/>
                <w:sz w:val="21"/>
                <w:szCs w:val="21"/>
                <w:lang w:val="en-US" w:eastAsia="zh-CN"/>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r>
              <w:rPr>
                <w:rFonts w:hint="eastAsia" w:ascii="宋体" w:hAnsi="宋体"/>
                <w:b/>
                <w:sz w:val="21"/>
                <w:szCs w:val="21"/>
                <w:lang w:val="en-US" w:eastAsia="zh-CN"/>
              </w:rPr>
              <w:t>无</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r>
              <w:rPr>
                <w:rFonts w:hint="eastAsia" w:ascii="宋体" w:hAnsi="宋体"/>
                <w:b/>
                <w:sz w:val="21"/>
                <w:szCs w:val="21"/>
                <w:lang w:eastAsia="zh-CN"/>
              </w:rPr>
              <w:t>：</w:t>
            </w: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bCs/>
                <w:sz w:val="21"/>
                <w:szCs w:val="21"/>
              </w:rPr>
              <w:t>对发现的不合格产品和服务进行了分析、制定了纠正措施，进行了整改，对整改效果进行了追踪验证，结论合格，对不合格品可以进行有效控制。对内审中发现的不合格已制定纠正措施。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0"/>
              </w:numPr>
              <w:spacing w:line="240" w:lineRule="exact"/>
              <w:ind w:left="105" w:leftChars="0" w:hanging="105" w:hangingChars="50"/>
              <w:rPr>
                <w:rFonts w:hint="eastAsia"/>
                <w:b/>
                <w:bCs/>
                <w:sz w:val="21"/>
                <w:szCs w:val="21"/>
              </w:rPr>
            </w:pPr>
            <w:r>
              <w:rPr>
                <w:rFonts w:hint="eastAsia"/>
                <w:b/>
                <w:bCs/>
                <w:sz w:val="21"/>
                <w:szCs w:val="21"/>
              </w:rPr>
              <w:t>创新情况</w:t>
            </w:r>
          </w:p>
          <w:p>
            <w:pPr>
              <w:pStyle w:val="2"/>
              <w:numPr>
                <w:ilvl w:val="0"/>
                <w:numId w:val="0"/>
              </w:numPr>
              <w:ind w:leftChars="-50"/>
            </w:pPr>
            <w:r>
              <w:rPr>
                <w:rFonts w:hint="eastAsia"/>
                <w:bCs/>
                <w:sz w:val="21"/>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0"/>
              </w:numPr>
              <w:spacing w:line="240" w:lineRule="exact"/>
              <w:ind w:left="105" w:leftChars="0" w:hanging="105" w:hangingChars="50"/>
              <w:rPr>
                <w:rFonts w:hint="eastAsia"/>
                <w:b/>
                <w:bCs/>
                <w:sz w:val="21"/>
                <w:szCs w:val="21"/>
              </w:rPr>
            </w:pPr>
            <w:r>
              <w:rPr>
                <w:rFonts w:hint="eastAsia"/>
                <w:b/>
                <w:bCs/>
                <w:sz w:val="21"/>
                <w:szCs w:val="21"/>
              </w:rPr>
              <w:t>上次不符合的整改情况</w:t>
            </w:r>
          </w:p>
          <w:p>
            <w:pPr>
              <w:pStyle w:val="2"/>
              <w:rPr>
                <w:rFonts w:hint="default" w:eastAsia="宋体"/>
                <w:lang w:val="en-US" w:eastAsia="zh-CN"/>
              </w:rPr>
            </w:pPr>
            <w:r>
              <w:rPr>
                <w:rFonts w:hint="eastAsia"/>
                <w:b/>
                <w:bCs/>
                <w:sz w:val="21"/>
                <w:szCs w:val="21"/>
                <w:lang w:val="en-US" w:eastAsia="zh-CN"/>
              </w:rPr>
              <w:t>对初审开具的1个一般不符合项经现场验证符合要求。</w:t>
            </w:r>
          </w:p>
          <w:p>
            <w:pPr>
              <w:pStyle w:val="2"/>
              <w:numPr>
                <w:ilvl w:val="0"/>
                <w:numId w:val="0"/>
              </w:numPr>
              <w:tabs>
                <w:tab w:val="left" w:pos="3778"/>
              </w:tabs>
              <w:ind w:leftChars="-50"/>
              <w:rPr>
                <w:rFonts w:hint="default" w:eastAsia="宋体"/>
                <w:lang w:val="en-US" w:eastAsia="zh-CN"/>
              </w:rPr>
            </w:pPr>
            <w:r>
              <w:rPr>
                <w:rFonts w:hint="eastAsia"/>
                <w:lang w:eastAsia="zh-CN"/>
              </w:rPr>
              <w:tab/>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3</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w:t>
      </w:r>
      <w:r>
        <w:rPr>
          <w:rFonts w:hint="eastAsia" w:ascii="宋体" w:hAnsi="宋体"/>
          <w:b/>
          <w:szCs w:val="21"/>
          <w:lang w:val="en-US" w:eastAsia="zh-CN"/>
        </w:rPr>
        <w:t>3项</w:t>
      </w:r>
      <w:r>
        <w:rPr>
          <w:rFonts w:hint="eastAsia" w:ascii="宋体" w:hAnsi="宋体"/>
          <w:b/>
          <w:szCs w:val="21"/>
        </w:rPr>
        <w:t>，观察项项分布在部门条款，见不符合项分布表。（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ind w:firstLine="420" w:firstLineChars="200"/>
              <w:rPr>
                <w:sz w:val="21"/>
                <w:szCs w:val="21"/>
              </w:rPr>
            </w:pPr>
            <w:r>
              <w:rPr>
                <w:rFonts w:hint="eastAsia"/>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default" w:eastAsia="宋体"/>
          <w:b/>
          <w:color w:val="FF0000"/>
          <w:sz w:val="21"/>
          <w:szCs w:val="21"/>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1649095</wp:posOffset>
            </wp:positionH>
            <wp:positionV relativeFrom="paragraph">
              <wp:posOffset>235585</wp:posOffset>
            </wp:positionV>
            <wp:extent cx="946785" cy="549275"/>
            <wp:effectExtent l="0" t="0" r="5715" b="952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6"/>
                    <a:stretch>
                      <a:fillRect/>
                    </a:stretch>
                  </pic:blipFill>
                  <pic:spPr>
                    <a:xfrm>
                      <a:off x="0" y="0"/>
                      <a:ext cx="946785" cy="549275"/>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rPr>
          <w:rFonts w:ascii="宋体" w:hAnsi="宋体" w:eastAsia="宋体" w:cs="宋体"/>
          <w:kern w:val="0"/>
          <w:sz w:val="24"/>
          <w:szCs w:val="24"/>
          <w:lang w:val="en-US" w:eastAsia="zh-CN" w:bidi="ar"/>
        </w:rPr>
        <w:drawing>
          <wp:anchor distT="0" distB="0" distL="114300" distR="114300" simplePos="0" relativeHeight="251663360" behindDoc="0" locked="0" layoutInCell="1" allowOverlap="1">
            <wp:simplePos x="0" y="0"/>
            <wp:positionH relativeFrom="column">
              <wp:posOffset>1708785</wp:posOffset>
            </wp:positionH>
            <wp:positionV relativeFrom="paragraph">
              <wp:posOffset>111125</wp:posOffset>
            </wp:positionV>
            <wp:extent cx="876300" cy="466725"/>
            <wp:effectExtent l="0" t="0" r="0" b="317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876300" cy="46672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2020.7.8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bookmarkStart w:id="28" w:name="_GoBack"/>
      <w:bookmarkEnd w:id="28"/>
    </w:p>
    <w:p>
      <w:pPr>
        <w:tabs>
          <w:tab w:val="left" w:pos="6880"/>
          <w:tab w:val="left" w:pos="7740"/>
          <w:tab w:val="left" w:pos="8385"/>
        </w:tabs>
        <w:snapToGrid w:val="0"/>
        <w:spacing w:before="163" w:beforeLines="50"/>
        <w:ind w:firstLine="1980" w:firstLineChars="900"/>
        <w:rPr>
          <w:b/>
          <w:sz w:val="21"/>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1134745</wp:posOffset>
            </wp:positionH>
            <wp:positionV relativeFrom="paragraph">
              <wp:posOffset>276225</wp:posOffset>
            </wp:positionV>
            <wp:extent cx="946785" cy="549275"/>
            <wp:effectExtent l="0" t="0" r="5715" b="9525"/>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6"/>
                    <a:stretch>
                      <a:fillRect/>
                    </a:stretch>
                  </pic:blipFill>
                  <pic:spPr>
                    <a:xfrm>
                      <a:off x="0" y="0"/>
                      <a:ext cx="946785" cy="549275"/>
                    </a:xfrm>
                    <a:prstGeom prst="rect">
                      <a:avLst/>
                    </a:prstGeom>
                  </pic:spPr>
                </pic:pic>
              </a:graphicData>
            </a:graphic>
          </wp:anchor>
        </w:drawing>
      </w: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2020.7.8</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1"/>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1"/>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0368694A"/>
    <w:multiLevelType w:val="multilevel"/>
    <w:tmpl w:val="0368694A"/>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2">
    <w:nsid w:val="06C61639"/>
    <w:multiLevelType w:val="multilevel"/>
    <w:tmpl w:val="06C61639"/>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2A9D76D3"/>
    <w:multiLevelType w:val="multilevel"/>
    <w:tmpl w:val="2A9D76D3"/>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46AE3566"/>
    <w:multiLevelType w:val="multilevel"/>
    <w:tmpl w:val="46AE3566"/>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6BB145F7"/>
    <w:multiLevelType w:val="multilevel"/>
    <w:tmpl w:val="6BB145F7"/>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6D359039"/>
    <w:multiLevelType w:val="singleLevel"/>
    <w:tmpl w:val="6D359039"/>
    <w:lvl w:ilvl="0" w:tentative="0">
      <w:start w:val="4"/>
      <w:numFmt w:val="decimal"/>
      <w:suff w:val="nothing"/>
      <w:lvlText w:val="%1、"/>
      <w:lvlJc w:val="left"/>
    </w:lvl>
  </w:abstractNum>
  <w:abstractNum w:abstractNumId="8">
    <w:nsid w:val="6EE9F4D8"/>
    <w:multiLevelType w:val="singleLevel"/>
    <w:tmpl w:val="6EE9F4D8"/>
    <w:lvl w:ilvl="0" w:tentative="0">
      <w:start w:val="3"/>
      <w:numFmt w:val="decimal"/>
      <w:lvlText w:val="%1."/>
      <w:lvlJc w:val="left"/>
      <w:pPr>
        <w:tabs>
          <w:tab w:val="left" w:pos="312"/>
        </w:tabs>
      </w:pPr>
    </w:lvl>
  </w:abstractNum>
  <w:abstractNum w:abstractNumId="9">
    <w:nsid w:val="760EF1C5"/>
    <w:multiLevelType w:val="singleLevel"/>
    <w:tmpl w:val="760EF1C5"/>
    <w:lvl w:ilvl="0" w:tentative="0">
      <w:start w:val="8"/>
      <w:numFmt w:val="decimal"/>
      <w:suff w:val="space"/>
      <w:lvlText w:val="%1."/>
      <w:lvlJc w:val="left"/>
    </w:lvl>
  </w:abstractNum>
  <w:abstractNum w:abstractNumId="10">
    <w:nsid w:val="7D53F438"/>
    <w:multiLevelType w:val="singleLevel"/>
    <w:tmpl w:val="7D53F438"/>
    <w:lvl w:ilvl="0" w:tentative="0">
      <w:start w:val="2"/>
      <w:numFmt w:val="decimal"/>
      <w:lvlText w:val="%1."/>
      <w:lvlJc w:val="left"/>
      <w:pPr>
        <w:tabs>
          <w:tab w:val="left" w:pos="312"/>
        </w:tabs>
      </w:pPr>
    </w:lvl>
  </w:abstractNum>
  <w:num w:numId="1">
    <w:abstractNumId w:val="3"/>
  </w:num>
  <w:num w:numId="2">
    <w:abstractNumId w:val="8"/>
  </w:num>
  <w:num w:numId="3">
    <w:abstractNumId w:val="7"/>
  </w:num>
  <w:num w:numId="4">
    <w:abstractNumId w:val="2"/>
  </w:num>
  <w:num w:numId="5">
    <w:abstractNumId w:val="1"/>
  </w:num>
  <w:num w:numId="6">
    <w:abstractNumId w:val="5"/>
  </w:num>
  <w:num w:numId="7">
    <w:abstractNumId w:val="4"/>
  </w:num>
  <w:num w:numId="8">
    <w:abstractNumId w:val="6"/>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775143"/>
    <w:rsid w:val="452A1C38"/>
    <w:rsid w:val="4E94193A"/>
    <w:rsid w:val="52AA654C"/>
    <w:rsid w:val="5A346940"/>
    <w:rsid w:val="6D0650AD"/>
    <w:rsid w:val="6D7B4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9</TotalTime>
  <ScaleCrop>false</ScaleCrop>
  <LinksUpToDate>false</LinksUpToDate>
  <CharactersWithSpaces>4386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伍光华</cp:lastModifiedBy>
  <cp:lastPrinted>2019-04-18T08:15:00Z</cp:lastPrinted>
  <dcterms:modified xsi:type="dcterms:W3CDTF">2020-07-11T16:15:26Z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