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2B3BD4">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11642-2024-EnMs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广东新宏泽包装股份有限公司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马成双</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91445100784885395B</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广东新宏泽包装股份有限公司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广东省潮州市潮州大道北片工业区北站二路宏泽工业园</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生产地址"/>
            <w:r w:rsidRPr="00F1039B">
              <w:rPr>
                <w:rFonts w:hint="eastAsia"/>
                <w:sz w:val="21"/>
                <w:szCs w:val="21"/>
              </w:rPr>
              <w:t>广东省潮州市潮州大道北片工业区北站二路宏泽工业园</w:t>
            </w:r>
            <w:bookmarkEnd w:id="12"/>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包装装潢印刷品印刷所涉及的能源管理活动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广东新宏泽包装股份有限公司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广东省潮州市潮州大道北片工业区北站二路宏泽工业园</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广东省潮州市潮州大道北片工业区北站二路宏泽工业园</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包装装潢印刷品印刷所涉及的能源管理活动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bCs/>
                <w:sz w:val="21"/>
                <w:szCs w:val="21"/>
              </w:rPr>
            </w:pPr>
          </w:p>
          <w:p w:rsidR="006100D0" w:rsidP="00CF5226">
            <w:pPr>
              <w:snapToGrid w:val="0"/>
              <w:spacing w:line="0" w:lineRule="atLeast"/>
              <w:ind w:firstLine="960" w:firstLineChars="400"/>
              <w:jc w:val="left"/>
              <w:rPr>
                <w:rFonts w:cs="Arial"/>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6100D0" w:rsidP="006100D0">
            <w:pPr>
              <w:snapToGrid w:val="0"/>
              <w:spacing w:line="0" w:lineRule="atLeast"/>
              <w:ind w:firstLine="960" w:firstLineChars="400"/>
              <w:jc w:val="left"/>
              <w:rPr>
                <w:rFonts w:cs="Arial"/>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19" w:name="_Hlk131525195"/>
    <w:bookmarkStart w:id="20" w:name="_Hlk131525196"/>
    <w:bookmarkStart w:id="21" w:name="_Hlk131525289"/>
    <w:bookmarkStart w:id="22"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19"/>
    <w:bookmarkEnd w:id="20"/>
    <w:bookmarkEnd w:id="21"/>
    <w:bookmarkEnd w:id="22"/>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64</cp:revision>
  <cp:lastPrinted>2019-05-13T03:13:00Z</cp:lastPrinted>
  <dcterms:created xsi:type="dcterms:W3CDTF">2016-02-16T02:49:00Z</dcterms:created>
  <dcterms:modified xsi:type="dcterms:W3CDTF">2024-06-19T01:36:00Z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