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王佳文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8E6F9C" w:rsidRPr="008E6F9C">
              <w:rPr>
                <w:rFonts w:eastAsiaTheme="minorEastAsia" w:hAnsiTheme="minorEastAsia" w:hint="eastAsia"/>
                <w:sz w:val="24"/>
                <w:szCs w:val="24"/>
              </w:rPr>
              <w:t>赖艳华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386B18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20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3F3775">
              <w:rPr>
                <w:rFonts w:eastAsiaTheme="minorEastAsia" w:hint="eastAsia"/>
                <w:sz w:val="24"/>
                <w:szCs w:val="24"/>
              </w:rPr>
              <w:t>7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3F3775">
              <w:rPr>
                <w:rFonts w:eastAsiaTheme="minorEastAsia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450041" w:rsidRPr="00450041" w:rsidRDefault="00450041" w:rsidP="00450041">
            <w:pPr>
              <w:rPr>
                <w:rFonts w:eastAsiaTheme="minorEastAsia"/>
                <w:sz w:val="24"/>
                <w:szCs w:val="24"/>
              </w:rPr>
            </w:pPr>
            <w:r w:rsidRPr="00450041">
              <w:rPr>
                <w:rFonts w:eastAsiaTheme="minorEastAsia" w:hint="eastAsia"/>
                <w:sz w:val="24"/>
                <w:szCs w:val="24"/>
              </w:rPr>
              <w:t>EMS</w:t>
            </w:r>
            <w:r w:rsidRPr="00450041">
              <w:rPr>
                <w:rFonts w:eastAsiaTheme="minorEastAsia" w:hint="eastAsia"/>
                <w:sz w:val="24"/>
                <w:szCs w:val="24"/>
              </w:rPr>
              <w:t>：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环境因素的识别与评价、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6.1.3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6.1.4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应急准备和响应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合规性评价）</w:t>
            </w:r>
          </w:p>
          <w:p w:rsidR="003658B7" w:rsidRPr="00613D91" w:rsidRDefault="00450041" w:rsidP="00450041">
            <w:pPr>
              <w:rPr>
                <w:rFonts w:eastAsiaTheme="minorEastAsia"/>
                <w:sz w:val="24"/>
                <w:szCs w:val="24"/>
              </w:rPr>
            </w:pPr>
            <w:r w:rsidRPr="00450041">
              <w:rPr>
                <w:rFonts w:eastAsiaTheme="minorEastAsia" w:hint="eastAsia"/>
                <w:sz w:val="24"/>
                <w:szCs w:val="24"/>
              </w:rPr>
              <w:t>OHSMS:6.1.2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危险源的辨识与评价、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6.1.3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6.1.4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监视、测量、分析和评价（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合规性评价）、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应急准备和响应</w:t>
            </w:r>
            <w:r w:rsidRPr="00450041">
              <w:rPr>
                <w:rFonts w:eastAsiaTheme="minorEastAsia" w:hint="eastAsia"/>
                <w:sz w:val="24"/>
                <w:szCs w:val="24"/>
              </w:rPr>
              <w:t>,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8306E2">
        <w:trPr>
          <w:trHeight w:val="212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提供了环境因素和危险源识别评价与</w:t>
            </w:r>
            <w:r w:rsidR="008306E2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DF525C" w:rsidRPr="00DF525C" w:rsidRDefault="00450041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作为环境和职业健康安全管理体系的推进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关的环境因素及危险源。根据办公区、采购、销售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项重要环境因素。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主要控制措施：办公危废交耗材供应公司，生活垃圾由物业部门拉走，加强日常培训，日常检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查，配备消防器材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、培养节约意识、制订能源消耗制度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等措施。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职业安全健康管理体系危险源辨识、风险评价、风险控制一览表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，识别了办公、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采购、销售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过程中的危险源。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的危险源有空调短路起弧光造成火灾，插座质量差漏电造成的触电，烟头未及时熄灭或直接扔到纸篓中造成火灾，接线板负荷过重造成的火灾等。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对识别出的危险源采取</w:t>
            </w:r>
            <w:r w:rsidRPr="00DF525C">
              <w:rPr>
                <w:rFonts w:eastAsiaTheme="minorEastAsia"/>
                <w:sz w:val="24"/>
                <w:szCs w:val="24"/>
              </w:rPr>
              <w:t>D=LEC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进行评价，查到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重大危险源清单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，评价出重大危险源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个，包括：火灾、触电、交通意外伤害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的重大危险源：触电事故、火灾事故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、交通意外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的发生。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C2621F" w:rsidRDefault="00DF525C" w:rsidP="001C5171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</w:t>
            </w:r>
            <w:r w:rsidR="00C2621F">
              <w:rPr>
                <w:rFonts w:eastAsiaTheme="minorEastAsia"/>
                <w:sz w:val="24"/>
                <w:szCs w:val="24"/>
              </w:rPr>
              <w:t>O</w:t>
            </w:r>
            <w:r w:rsidRPr="00DF525C">
              <w:rPr>
                <w:rFonts w:eastAsiaTheme="minorEastAsia"/>
                <w:sz w:val="24"/>
                <w:szCs w:val="24"/>
              </w:rPr>
              <w:t>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  <w:p w:rsidR="003F3775" w:rsidRPr="00DF525C" w:rsidRDefault="003F3775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E3B8F" w:rsidRPr="00DF525C" w:rsidTr="00450041">
        <w:trPr>
          <w:trHeight w:val="1823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DB45F4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编制了《环境和职业健康安全法律法规控制程序》，对法律法规的识别更新和应用进行规定，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防法》、《中华人民共和国大气污染防治法》、《江西省环境污染防治条例》、《江西省安全生产条例》、《机关、团体、企业、事业单位消防安全管理规定》等。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CE3B8F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  <w:p w:rsidR="003F3775" w:rsidRPr="00DF525C" w:rsidRDefault="003F3775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118A3">
              <w:rPr>
                <w:rFonts w:eastAsiaTheme="minorEastAsia" w:hAnsiTheme="minorEastAsia"/>
                <w:sz w:val="24"/>
                <w:szCs w:val="24"/>
              </w:rPr>
              <w:t>不可接受风险清单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 w:rsidR="003F3775" w:rsidRPr="00DF525C" w:rsidRDefault="003F3775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DB45F4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评价人：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方亮、杨亮、王佳文、赖艳华</w:t>
            </w:r>
            <w:r w:rsidR="00386B18">
              <w:rPr>
                <w:rFonts w:eastAsiaTheme="minorEastAsia" w:hAnsiTheme="minorEastAsia"/>
                <w:sz w:val="24"/>
                <w:szCs w:val="24"/>
              </w:rPr>
              <w:t>等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CE3B8F">
              <w:rPr>
                <w:rFonts w:eastAsiaTheme="minorEastAsia" w:hint="eastAsia"/>
                <w:sz w:val="24"/>
                <w:szCs w:val="24"/>
              </w:rPr>
              <w:t>2020</w:t>
            </w:r>
            <w:r w:rsidRPr="00CE3B8F">
              <w:rPr>
                <w:rFonts w:eastAsiaTheme="minorEastAsia" w:hint="eastAsia"/>
                <w:sz w:val="24"/>
                <w:szCs w:val="24"/>
              </w:rPr>
              <w:t>年</w:t>
            </w:r>
            <w:r w:rsidR="00450041">
              <w:rPr>
                <w:rFonts w:eastAsiaTheme="minorEastAsia" w:hint="eastAsia"/>
                <w:sz w:val="24"/>
                <w:szCs w:val="24"/>
              </w:rPr>
              <w:t>3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月</w:t>
            </w:r>
            <w:r w:rsidR="00386B18">
              <w:rPr>
                <w:rFonts w:eastAsiaTheme="minorEastAsia" w:hint="eastAsia"/>
                <w:sz w:val="24"/>
                <w:szCs w:val="24"/>
              </w:rPr>
              <w:t>12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Default="00CE3B8F" w:rsidP="005F25D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  <w:p w:rsidR="003F3775" w:rsidRPr="00DF525C" w:rsidRDefault="003F3775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DB45F4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450041">
              <w:rPr>
                <w:rFonts w:eastAsiaTheme="minorEastAsia" w:hint="eastAsia"/>
                <w:sz w:val="24"/>
                <w:szCs w:val="24"/>
              </w:rPr>
              <w:t>5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450041">
              <w:rPr>
                <w:rFonts w:eastAsiaTheme="minorEastAsia" w:hint="eastAsia"/>
                <w:sz w:val="24"/>
                <w:szCs w:val="24"/>
              </w:rPr>
              <w:t>2</w:t>
            </w:r>
            <w:r w:rsidR="00386B18">
              <w:rPr>
                <w:rFonts w:eastAsiaTheme="minorEastAsia" w:hint="eastAsia"/>
                <w:sz w:val="24"/>
                <w:szCs w:val="24"/>
              </w:rPr>
              <w:t>9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386B18">
              <w:rPr>
                <w:rFonts w:eastAsiaTheme="minorEastAsia" w:hAnsiTheme="minorEastAsia"/>
                <w:sz w:val="24"/>
                <w:szCs w:val="24"/>
              </w:rPr>
              <w:t>方亮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DD4990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DD4990">
              <w:rPr>
                <w:rFonts w:eastAsiaTheme="minorEastAsia"/>
                <w:sz w:val="24"/>
                <w:szCs w:val="24"/>
              </w:rPr>
              <w:t>/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DD4990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DD499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386B18">
              <w:rPr>
                <w:rFonts w:eastAsiaTheme="minorEastAsia" w:hint="eastAsia"/>
                <w:sz w:val="24"/>
                <w:szCs w:val="24"/>
              </w:rPr>
              <w:t>1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</w:t>
            </w:r>
            <w:r w:rsidR="00386B18">
              <w:rPr>
                <w:rFonts w:eastAsiaTheme="minorEastAsia" w:hint="eastAsia"/>
                <w:sz w:val="24"/>
                <w:szCs w:val="24"/>
              </w:rPr>
              <w:t>0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20.3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450041">
              <w:rPr>
                <w:rFonts w:eastAsiaTheme="minorEastAsia" w:hint="eastAsia"/>
                <w:sz w:val="24"/>
                <w:szCs w:val="24"/>
              </w:rPr>
              <w:t>1</w:t>
            </w:r>
            <w:r w:rsidR="00386B18">
              <w:rPr>
                <w:rFonts w:eastAsiaTheme="minorEastAsia" w:hint="eastAsia"/>
                <w:sz w:val="24"/>
                <w:szCs w:val="24"/>
              </w:rPr>
              <w:t>1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0118A3" w:rsidRPr="00DD4990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4</w:t>
            </w:r>
            <w:r w:rsidR="00AD165B"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</w:t>
            </w:r>
            <w:r w:rsidR="00386B18">
              <w:rPr>
                <w:rFonts w:eastAsiaTheme="minorEastAsia" w:hint="eastAsia"/>
                <w:sz w:val="24"/>
                <w:szCs w:val="24"/>
              </w:rPr>
              <w:t>3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日检查结果均正常，检查人</w:t>
            </w:r>
            <w:r w:rsidR="00386B18" w:rsidRPr="00386B18">
              <w:rPr>
                <w:rFonts w:ascii="宋体" w:hAnsi="宋体" w:hint="eastAsia"/>
                <w:sz w:val="24"/>
              </w:rPr>
              <w:t>王佳文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22A56" w:rsidRPr="00EE52B1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  <w:p w:rsidR="003F3775" w:rsidRPr="00DF525C" w:rsidRDefault="003F3775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注册地址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江西省宜春市樟树市观上镇观中路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号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，经营地址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位于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江西省樟树市盐城大道与共和东路交叉路口南侧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(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锦绣江南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)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，公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司四周是其他企业，无重大敏感区，根据体系运行的需要设置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定期组织环保和安全知识培训，员工具备了基本的环保和职业健康安全防护意识，见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8E6F9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.3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条款审核记录。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按公司要求人走关灯，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内主要是电的使用，电器有漏电保护器，经常对电路、电源进行检查，没有露电现象发生。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Pr="00104529" w:rsidRDefault="008E6F9C" w:rsidP="008E6F9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行政部联系环卫人员</w:t>
            </w: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 w:hint="eastAsia"/>
                <w:sz w:val="24"/>
                <w:szCs w:val="24"/>
              </w:rPr>
              <w:t>为满足环境和职业健康安全体系的运行，公司投入了环保及安全资金，主要是安全教育培训、劳保用品、社保等，运行至今支出约</w:t>
            </w:r>
            <w:r w:rsidR="00386B18">
              <w:rPr>
                <w:rFonts w:eastAsiaTheme="minorEastAsia" w:hAnsiTheme="minorEastAsia" w:hint="eastAsia"/>
                <w:sz w:val="24"/>
                <w:szCs w:val="24"/>
              </w:rPr>
              <w:t>8.58</w:t>
            </w:r>
            <w:r w:rsidRPr="00DD4990">
              <w:rPr>
                <w:rFonts w:eastAsiaTheme="minorEastAsia" w:hAnsiTheme="minorEastAsia" w:hint="eastAsia"/>
                <w:sz w:val="24"/>
                <w:szCs w:val="24"/>
              </w:rPr>
              <w:t>万元。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  <w:p w:rsidR="003F3775" w:rsidRPr="00DF525C" w:rsidRDefault="003F3775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211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386B18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Pr="001B65B6">
              <w:rPr>
                <w:rFonts w:eastAsiaTheme="minorEastAsia" w:hAnsiTheme="minorEastAsia" w:hint="eastAsia"/>
                <w:sz w:val="24"/>
                <w:szCs w:val="24"/>
              </w:rPr>
              <w:t>赖艳华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行政部、供销部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450041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2020.5.2</w:t>
            </w:r>
            <w:r w:rsidR="00386B18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DF525C" w:rsidRDefault="00450041" w:rsidP="00450041">
            <w:pPr>
              <w:spacing w:line="360" w:lineRule="auto"/>
              <w:ind w:firstLineChars="250" w:firstLine="60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  <w:p w:rsidR="003F3775" w:rsidRPr="00DF525C" w:rsidRDefault="003F3775" w:rsidP="00450041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C2621F">
        <w:trPr>
          <w:trHeight w:val="1151"/>
        </w:trPr>
        <w:tc>
          <w:tcPr>
            <w:tcW w:w="1242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lastRenderedPageBreak/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6F" w:rsidRDefault="001B1B6F" w:rsidP="004749F5">
      <w:r>
        <w:separator/>
      </w:r>
    </w:p>
  </w:endnote>
  <w:endnote w:type="continuationSeparator" w:id="1">
    <w:p w:rsidR="001B1B6F" w:rsidRDefault="001B1B6F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9C1FA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377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377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6F" w:rsidRDefault="001B1B6F" w:rsidP="004749F5">
      <w:r>
        <w:separator/>
      </w:r>
    </w:p>
  </w:footnote>
  <w:footnote w:type="continuationSeparator" w:id="1">
    <w:p w:rsidR="001B1B6F" w:rsidRDefault="001B1B6F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9C1FAA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1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3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4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7B7D"/>
    <w:rsid w:val="000C3CF0"/>
    <w:rsid w:val="000C63B7"/>
    <w:rsid w:val="00104529"/>
    <w:rsid w:val="00124B0C"/>
    <w:rsid w:val="001B1B6F"/>
    <w:rsid w:val="001C5171"/>
    <w:rsid w:val="00210645"/>
    <w:rsid w:val="002D2568"/>
    <w:rsid w:val="00307AF4"/>
    <w:rsid w:val="003658B7"/>
    <w:rsid w:val="003851F8"/>
    <w:rsid w:val="00386B18"/>
    <w:rsid w:val="003F3775"/>
    <w:rsid w:val="00434681"/>
    <w:rsid w:val="00442DF0"/>
    <w:rsid w:val="00450041"/>
    <w:rsid w:val="004611E0"/>
    <w:rsid w:val="0046783C"/>
    <w:rsid w:val="004749F5"/>
    <w:rsid w:val="004C3F2B"/>
    <w:rsid w:val="004F035C"/>
    <w:rsid w:val="004F7207"/>
    <w:rsid w:val="005025A6"/>
    <w:rsid w:val="00510FC7"/>
    <w:rsid w:val="005443B8"/>
    <w:rsid w:val="005B1827"/>
    <w:rsid w:val="005F5909"/>
    <w:rsid w:val="00604D47"/>
    <w:rsid w:val="00613B25"/>
    <w:rsid w:val="00613D91"/>
    <w:rsid w:val="006D1842"/>
    <w:rsid w:val="006D2E1D"/>
    <w:rsid w:val="006E2A1E"/>
    <w:rsid w:val="007C588A"/>
    <w:rsid w:val="008228DA"/>
    <w:rsid w:val="008306E2"/>
    <w:rsid w:val="008351A8"/>
    <w:rsid w:val="008E6F9C"/>
    <w:rsid w:val="00912B74"/>
    <w:rsid w:val="009973D4"/>
    <w:rsid w:val="009C1FAA"/>
    <w:rsid w:val="009C6152"/>
    <w:rsid w:val="00A67B16"/>
    <w:rsid w:val="00A826F7"/>
    <w:rsid w:val="00A85F5C"/>
    <w:rsid w:val="00A86046"/>
    <w:rsid w:val="00AD165B"/>
    <w:rsid w:val="00AE3014"/>
    <w:rsid w:val="00B22A56"/>
    <w:rsid w:val="00B239B7"/>
    <w:rsid w:val="00BA61D5"/>
    <w:rsid w:val="00BB1867"/>
    <w:rsid w:val="00C2621F"/>
    <w:rsid w:val="00C60904"/>
    <w:rsid w:val="00C94399"/>
    <w:rsid w:val="00CE3B8F"/>
    <w:rsid w:val="00CE428E"/>
    <w:rsid w:val="00CE5C79"/>
    <w:rsid w:val="00D63F73"/>
    <w:rsid w:val="00DB45F4"/>
    <w:rsid w:val="00DC1AE7"/>
    <w:rsid w:val="00DD4990"/>
    <w:rsid w:val="00DF525C"/>
    <w:rsid w:val="00ED089E"/>
    <w:rsid w:val="00F8329B"/>
    <w:rsid w:val="00FB51A0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43</cp:revision>
  <dcterms:created xsi:type="dcterms:W3CDTF">2015-06-17T12:51:00Z</dcterms:created>
  <dcterms:modified xsi:type="dcterms:W3CDTF">2020-07-06T06:18:00Z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