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江西省白瑞碳酸钙有限公司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E：12.01.03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E：12.01.03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轻质碳酸钙：原料—煅烧—碳化—活化—脱水—干燥—破碎分级—包装—入库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活性碳酸钙：轻钙—硬脂酸—加热搅拌—筛分—包装—入库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生产过程风险主要是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煅烧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和加热搅拌，特殊过程为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</w:rPr>
              <w:t>煅烧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pacing w:val="12"/>
                <w:sz w:val="21"/>
                <w:szCs w:val="21"/>
                <w:lang w:val="en-US" w:eastAsia="zh-CN"/>
              </w:rPr>
              <w:t>制定了相应的控制规范或作业指导书。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重要环境因素：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潜在火灾</w:t>
            </w:r>
            <w:r>
              <w:rPr>
                <w:rFonts w:hint="eastAsia" w:ascii="黑体" w:eastAsia="黑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粉尘排放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噪声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固废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制定了管理方案。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不可接受危险源有：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机械伤害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触电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火灾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职业病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等，制定了管理方案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"http://baike.baidu.com/view/981704.htm" \t "http://baike.baidu.com/view/_blank"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生产安全事故报告和调查处理条例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特种设备安全监察条例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中华人民共和国环境保护法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中华人民共和国环境噪声污染防治法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中华人民共和国固体废物污染环境防治法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环境空气质量标准GB3095-2012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普通工业沉淀碳酸钙HG/T2226—2010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PH、白度、挥发物、沉降体积、细度和吸油值等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C7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2020-07-01T05:39:39Z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