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-8890</wp:posOffset>
            </wp:positionH>
            <wp:positionV relativeFrom="paragraph">
              <wp:posOffset>-278130</wp:posOffset>
            </wp:positionV>
            <wp:extent cx="6464300" cy="8534400"/>
            <wp:effectExtent l="0" t="0" r="0" b="0"/>
            <wp:wrapNone/>
            <wp:docPr id="1" name="图片 1" descr="新文档 2020-07-06 17.16.17_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06 17.16.17_39"/>
                    <pic:cNvPicPr>
                      <a:picLocks noChangeAspect="1"/>
                    </pic:cNvPicPr>
                  </pic:nvPicPr>
                  <pic:blipFill>
                    <a:blip r:embed="rId6"/>
                    <a:stretch>
                      <a:fillRect/>
                    </a:stretch>
                  </pic:blipFill>
                  <pic:spPr>
                    <a:xfrm>
                      <a:off x="0" y="0"/>
                      <a:ext cx="6464300" cy="853440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江西金钱豹保险设备集团有限公司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0097-2019-O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2018-N1OHSMS-1219448</w:t>
            </w:r>
          </w:p>
          <w:p>
            <w:pPr>
              <w:snapToGrid w:val="0"/>
              <w:spacing w:line="320" w:lineRule="exact"/>
              <w:ind w:left="1309"/>
              <w:rPr>
                <w:sz w:val="22"/>
                <w:szCs w:val="22"/>
                <w:highlight w:val="none"/>
              </w:rPr>
            </w:pPr>
            <w:r>
              <w:rPr>
                <w:sz w:val="22"/>
                <w:szCs w:val="22"/>
                <w:highlight w:val="none"/>
              </w:rPr>
              <w:t>2017-N1EMS-1219448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2020-N1OHSMS-1257737</w:t>
            </w:r>
          </w:p>
          <w:p>
            <w:pPr>
              <w:snapToGrid w:val="0"/>
              <w:spacing w:line="320" w:lineRule="exact"/>
              <w:ind w:left="1309"/>
              <w:rPr>
                <w:sz w:val="22"/>
                <w:szCs w:val="22"/>
                <w:highlight w:val="none"/>
              </w:rPr>
            </w:pPr>
            <w:r>
              <w:rPr>
                <w:sz w:val="22"/>
                <w:szCs w:val="22"/>
                <w:highlight w:val="none"/>
              </w:rPr>
              <w:t>2019-N1EMS-1257737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EB3A01"/>
    <w:rsid w:val="7ED15A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2020-07-06T14:57:26Z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