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涉及</w:t>
            </w:r>
          </w:p>
          <w:p>
            <w:r>
              <w:rPr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</w:rPr>
              <w:t>生产部</w:t>
            </w:r>
            <w:r>
              <w:rPr>
                <w:sz w:val="24"/>
                <w:szCs w:val="24"/>
              </w:rPr>
              <w:t xml:space="preserve">       主管领导：</w:t>
            </w:r>
            <w:r>
              <w:rPr>
                <w:rFonts w:hint="eastAsia"/>
                <w:sz w:val="24"/>
                <w:szCs w:val="24"/>
              </w:rPr>
              <w:t>黄刚强</w:t>
            </w:r>
            <w:r>
              <w:rPr>
                <w:sz w:val="24"/>
                <w:szCs w:val="24"/>
              </w:rPr>
              <w:t xml:space="preserve">       陪同人员：</w:t>
            </w:r>
            <w:r>
              <w:rPr>
                <w:rFonts w:hint="eastAsia"/>
                <w:sz w:val="24"/>
                <w:szCs w:val="24"/>
              </w:rPr>
              <w:t>陈松林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伍光华、</w:t>
            </w:r>
            <w:bookmarkStart w:id="1" w:name="_GoBack"/>
            <w:bookmarkEnd w:id="1"/>
            <w:r>
              <w:rPr>
                <w:sz w:val="24"/>
                <w:szCs w:val="24"/>
              </w:rPr>
              <w:t xml:space="preserve">  文波           审核时间：2020.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7.6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审核条款：</w:t>
            </w:r>
          </w:p>
          <w:p>
            <w:pPr>
              <w:rPr>
                <w:rFonts w:ascii="宋体" w:hAnsi="宋体" w:cs="Arial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E：</w:t>
            </w:r>
            <w:r>
              <w:rPr>
                <w:sz w:val="24"/>
                <w:szCs w:val="24"/>
              </w:rPr>
              <w:t>5.3</w:t>
            </w:r>
            <w:r>
              <w:rPr>
                <w:rFonts w:hint="eastAsia"/>
                <w:sz w:val="24"/>
                <w:szCs w:val="24"/>
              </w:rPr>
              <w:t>组织的岗位、职责和权限、</w:t>
            </w:r>
            <w:r>
              <w:rPr>
                <w:sz w:val="24"/>
                <w:szCs w:val="24"/>
              </w:rPr>
              <w:t>6.2</w:t>
            </w:r>
            <w:r>
              <w:rPr>
                <w:rFonts w:hint="eastAsia"/>
                <w:sz w:val="24"/>
                <w:szCs w:val="24"/>
              </w:rPr>
              <w:t>环境目标、</w:t>
            </w:r>
            <w:r>
              <w:rPr>
                <w:sz w:val="24"/>
                <w:szCs w:val="24"/>
              </w:rPr>
              <w:t>6.1.2</w:t>
            </w:r>
            <w:r>
              <w:rPr>
                <w:rFonts w:hint="eastAsia"/>
                <w:sz w:val="24"/>
                <w:szCs w:val="24"/>
              </w:rPr>
              <w:t>环境因素、</w:t>
            </w:r>
            <w:r>
              <w:rPr>
                <w:sz w:val="24"/>
                <w:szCs w:val="24"/>
              </w:rPr>
              <w:t>6.1.3</w:t>
            </w:r>
            <w:r>
              <w:rPr>
                <w:rFonts w:hint="eastAsia"/>
                <w:sz w:val="24"/>
                <w:szCs w:val="24"/>
              </w:rPr>
              <w:t>合规义务、</w:t>
            </w:r>
            <w:r>
              <w:rPr>
                <w:sz w:val="24"/>
                <w:szCs w:val="24"/>
              </w:rPr>
              <w:t>6.1.4</w:t>
            </w:r>
            <w:r>
              <w:rPr>
                <w:rFonts w:hint="eastAsia"/>
                <w:sz w:val="24"/>
                <w:szCs w:val="24"/>
              </w:rPr>
              <w:t>措施的策划、</w:t>
            </w:r>
            <w:r>
              <w:rPr>
                <w:sz w:val="24"/>
                <w:szCs w:val="24"/>
              </w:rPr>
              <w:t>8.1</w:t>
            </w:r>
            <w:r>
              <w:rPr>
                <w:rFonts w:hint="eastAsia"/>
                <w:sz w:val="24"/>
                <w:szCs w:val="24"/>
              </w:rPr>
              <w:t>运行策划和控制、</w:t>
            </w:r>
            <w:r>
              <w:rPr>
                <w:sz w:val="24"/>
                <w:szCs w:val="24"/>
              </w:rPr>
              <w:t>8.2</w:t>
            </w:r>
            <w:r>
              <w:rPr>
                <w:rFonts w:hint="eastAsia"/>
                <w:sz w:val="24"/>
                <w:szCs w:val="24"/>
              </w:rPr>
              <w:t>应急准备和响应、</w:t>
            </w:r>
            <w:r>
              <w:rPr>
                <w:sz w:val="24"/>
                <w:szCs w:val="24"/>
              </w:rPr>
              <w:t>9.1</w:t>
            </w:r>
            <w:r>
              <w:rPr>
                <w:rFonts w:hint="eastAsia"/>
                <w:sz w:val="24"/>
                <w:szCs w:val="24"/>
              </w:rPr>
              <w:t>监视、测量、分析和评价（</w:t>
            </w:r>
            <w:r>
              <w:rPr>
                <w:sz w:val="24"/>
                <w:szCs w:val="24"/>
              </w:rPr>
              <w:t>9.1.1</w:t>
            </w:r>
            <w:r>
              <w:rPr>
                <w:rFonts w:hint="eastAsia"/>
                <w:sz w:val="24"/>
                <w:szCs w:val="24"/>
              </w:rPr>
              <w:t>总则、</w:t>
            </w:r>
            <w:r>
              <w:rPr>
                <w:sz w:val="24"/>
                <w:szCs w:val="24"/>
              </w:rPr>
              <w:t>9.1.2</w:t>
            </w:r>
            <w:r>
              <w:rPr>
                <w:rFonts w:hint="eastAsia"/>
                <w:sz w:val="24"/>
                <w:szCs w:val="24"/>
              </w:rPr>
              <w:t>合规性评价）</w:t>
            </w:r>
          </w:p>
          <w:p>
            <w:pPr>
              <w:rPr>
                <w:sz w:val="24"/>
                <w:szCs w:val="24"/>
              </w:rPr>
            </w:pP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spacing w:beforeLines="30" w:afterLines="30" w:line="360" w:lineRule="auto"/>
              <w:rPr>
                <w:rFonts w:eastAsiaTheme="minorEastAsia"/>
                <w:b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spacing w:beforeLines="30" w:afterLines="30"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 5.3</w:t>
            </w:r>
          </w:p>
          <w:p>
            <w:pPr>
              <w:spacing w:beforeLines="30" w:afterLines="30"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004" w:type="dxa"/>
          </w:tcPr>
          <w:p>
            <w:pPr>
              <w:spacing w:beforeLines="30" w:afterLines="30"/>
              <w:ind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生产部主要作用、职责和权限包括</w:t>
            </w:r>
            <w:r>
              <w:rPr>
                <w:rFonts w:eastAsiaTheme="minorEastAsia"/>
                <w:szCs w:val="21"/>
              </w:rPr>
              <w:t>:</w:t>
            </w:r>
            <w:r>
              <w:rPr>
                <w:rFonts w:hAnsiTheme="minorEastAsia" w:eastAsiaTheme="minorEastAsia"/>
                <w:szCs w:val="21"/>
              </w:rPr>
              <w:t>负责基础设施管理控制，负责生产和服务提供的控制，包括制定生产计划，科学合理调度，确保生产计划及时按期完成，负责产品标识，并确保在必要时实现可追溯性，负责环境因素、危险源辨识和控制，</w:t>
            </w:r>
            <w:r>
              <w:rPr>
                <w:rFonts w:hint="eastAsia" w:hAnsiTheme="minorEastAsia" w:eastAsiaTheme="minorEastAsia"/>
                <w:szCs w:val="21"/>
              </w:rPr>
              <w:t>法律法规收集及合规性评价，</w:t>
            </w:r>
            <w:r>
              <w:rPr>
                <w:rFonts w:hAnsiTheme="minorEastAsia" w:eastAsiaTheme="minorEastAsia"/>
                <w:szCs w:val="21"/>
              </w:rPr>
              <w:t>负责生产过程运行的环境和安全控制，应急预案并实施预案的紧急演练，负责产品生产作业活动、过程中环境安全的监视和测量，负责生产进度、现场工作环境和安全生产管理。</w:t>
            </w:r>
          </w:p>
          <w:p>
            <w:pPr>
              <w:spacing w:beforeLines="30" w:afterLines="30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生产部上述作用和职责、权限基本得到有效沟通和实施。</w:t>
            </w:r>
          </w:p>
          <w:p>
            <w:pPr>
              <w:spacing w:beforeLines="30" w:afterLines="30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与二阶段远程审核一致，确认符合要求。</w:t>
            </w:r>
          </w:p>
        </w:tc>
        <w:tc>
          <w:tcPr>
            <w:tcW w:w="1585" w:type="dxa"/>
            <w:vAlign w:val="center"/>
          </w:tcPr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2160" w:type="dxa"/>
            <w:vAlign w:val="center"/>
          </w:tcPr>
          <w:p>
            <w:pPr>
              <w:spacing w:beforeLines="30" w:afterLines="30" w:line="360" w:lineRule="auto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目标</w:t>
            </w:r>
            <w:r>
              <w:rPr>
                <w:rFonts w:eastAsiaTheme="minorEastAsia"/>
                <w:szCs w:val="21"/>
              </w:rPr>
              <w:t xml:space="preserve"> </w:t>
            </w:r>
          </w:p>
        </w:tc>
        <w:tc>
          <w:tcPr>
            <w:tcW w:w="960" w:type="dxa"/>
            <w:vAlign w:val="center"/>
          </w:tcPr>
          <w:p>
            <w:pPr>
              <w:spacing w:beforeLines="30" w:afterLines="30"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</w:t>
            </w:r>
            <w:r>
              <w:rPr>
                <w:rFonts w:hint="eastAsia" w:eastAsiaTheme="minorEastAsia"/>
                <w:szCs w:val="21"/>
              </w:rPr>
              <w:t>6.2</w:t>
            </w:r>
          </w:p>
          <w:p>
            <w:pPr>
              <w:spacing w:beforeLines="30" w:afterLines="30"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Lines="30" w:afterLines="30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 xml:space="preserve">部门目标：  </w:t>
            </w:r>
            <w:r>
              <w:rPr>
                <w:rFonts w:hint="eastAsia" w:hAnsiTheme="minorEastAsia" w:eastAsiaTheme="minorEastAsia"/>
                <w:szCs w:val="21"/>
              </w:rPr>
              <w:t xml:space="preserve">                                             完成情况（</w:t>
            </w:r>
            <w:r>
              <w:rPr>
                <w:rFonts w:hAnsiTheme="minorEastAsia" w:eastAsiaTheme="minorEastAsia"/>
                <w:szCs w:val="21"/>
              </w:rPr>
              <w:t>20</w:t>
            </w:r>
            <w:r>
              <w:rPr>
                <w:rFonts w:hint="eastAsia" w:hAnsiTheme="minorEastAsia" w:eastAsiaTheme="minorEastAsia"/>
                <w:szCs w:val="21"/>
              </w:rPr>
              <w:t>20年4月1日）：</w:t>
            </w:r>
          </w:p>
          <w:p>
            <w:pPr>
              <w:spacing w:beforeLines="30" w:afterLines="30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产品一次交验合格率98% 以上                                       95.6%</w:t>
            </w:r>
          </w:p>
          <w:p>
            <w:pPr>
              <w:spacing w:beforeLines="30" w:afterLines="30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因公责任重大伤亡事故为0；                                          0次</w:t>
            </w:r>
          </w:p>
          <w:p>
            <w:pPr>
              <w:spacing w:beforeLines="30" w:afterLines="30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职业病发病率为0                                                   0次</w:t>
            </w:r>
          </w:p>
          <w:p>
            <w:pPr>
              <w:spacing w:beforeLines="30" w:afterLines="30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杜绝火灾、触电事故、机械伤害事故为0.                                0次</w:t>
            </w:r>
          </w:p>
          <w:p>
            <w:pPr>
              <w:spacing w:beforeLines="30" w:afterLines="30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固体废气物分类处置率100%；                                        100%</w:t>
            </w:r>
          </w:p>
          <w:p>
            <w:pPr>
              <w:spacing w:beforeLines="30" w:afterLines="30"/>
              <w:ind w:firstLine="420" w:firstLineChars="200"/>
              <w:rPr>
                <w:rFonts w:hint="eastAsia"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经查目标已完成。</w:t>
            </w:r>
          </w:p>
          <w:p>
            <w:pPr>
              <w:spacing w:beforeLines="30" w:afterLines="30"/>
              <w:ind w:firstLine="420" w:firstLineChars="200"/>
              <w:rPr>
                <w:rFonts w:hint="eastAsia"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与二阶段远程审核一致，确认符合要求。</w:t>
            </w:r>
          </w:p>
        </w:tc>
        <w:tc>
          <w:tcPr>
            <w:tcW w:w="1585" w:type="dxa"/>
          </w:tcPr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160" w:type="dxa"/>
            <w:vAlign w:val="center"/>
          </w:tcPr>
          <w:p>
            <w:pPr>
              <w:rPr>
                <w:rFonts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环境因素/危险源辨识与评价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E6.1.2</w:t>
            </w:r>
          </w:p>
          <w:p>
            <w:pPr>
              <w:rPr>
                <w:rFonts w:eastAsiaTheme="minorEastAsia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Lines="20" w:afterLines="20" w:line="288" w:lineRule="auto"/>
              <w:ind w:firstLine="420" w:firstLineChars="200"/>
              <w:rPr>
                <w:rFonts w:hAnsiTheme="minorEastAsia" w:eastAsiaTheme="minorEastAsia"/>
                <w:bCs/>
                <w:szCs w:val="21"/>
              </w:rPr>
            </w:pPr>
            <w:r>
              <w:rPr>
                <w:rFonts w:hint="eastAsia" w:hAnsiTheme="minorEastAsia" w:eastAsiaTheme="minorEastAsia"/>
                <w:bCs/>
                <w:szCs w:val="21"/>
              </w:rPr>
              <w:t>生产部黄刚强述：公司制订《环境因素识别与评价控制程序》和《危险源识别与风险评价控制程序》，生产部根据密集架、书架、文件柜、金库门、钢木办公家具、学校校具、部队营房营具的生产过程工作特点对涉及的环境因素、危险源进行了识别和辨识。</w:t>
            </w:r>
          </w:p>
          <w:p>
            <w:pPr>
              <w:spacing w:beforeLines="20" w:afterLines="20" w:line="288" w:lineRule="auto"/>
              <w:ind w:firstLine="420" w:firstLineChars="200"/>
              <w:rPr>
                <w:rFonts w:hAnsiTheme="minorEastAsia" w:eastAsiaTheme="minorEastAsia"/>
                <w:bCs/>
                <w:szCs w:val="21"/>
              </w:rPr>
            </w:pPr>
            <w:r>
              <w:rPr>
                <w:rFonts w:hint="eastAsia" w:hAnsiTheme="minorEastAsia" w:eastAsiaTheme="minorEastAsia"/>
                <w:bCs/>
                <w:szCs w:val="21"/>
              </w:rPr>
              <w:t>在公司编制的”环境因素识别与评价控制程序”中，对环境因素识别和评价的目的、职责、工作程序和记录的要求均有明确的规定。</w:t>
            </w:r>
          </w:p>
          <w:p>
            <w:pPr>
              <w:spacing w:beforeLines="20" w:afterLines="20" w:line="288" w:lineRule="auto"/>
              <w:ind w:firstLine="420" w:firstLineChars="200"/>
              <w:rPr>
                <w:rFonts w:hAnsiTheme="minorEastAsia" w:eastAsiaTheme="minorEastAsia"/>
                <w:bCs/>
                <w:szCs w:val="21"/>
              </w:rPr>
            </w:pPr>
            <w:r>
              <w:rPr>
                <w:rFonts w:hint="eastAsia" w:hAnsiTheme="minorEastAsia" w:eastAsiaTheme="minorEastAsia"/>
                <w:bCs/>
                <w:szCs w:val="21"/>
              </w:rPr>
              <w:t>查到《环境因素识别评价表》：已识别生产部的环境因素产生过程包括：剪切开料、冲压、折弯、打磨、焊接、喷涂、组装、能源消耗、用电不当、生产垃圾等过程中粉尘的排放，噪声的排放，能源的消耗，废水、废渣的排放、固废的废弃等，在环境评价过程中考虑到环境影响、三种时态和三种状态等。使用分级评分的方式。基本合理。</w:t>
            </w:r>
          </w:p>
          <w:p>
            <w:pPr>
              <w:spacing w:beforeLines="20" w:afterLines="20" w:line="288" w:lineRule="auto"/>
              <w:ind w:firstLine="420" w:firstLineChars="200"/>
              <w:rPr>
                <w:rFonts w:hAnsiTheme="minorEastAsia" w:eastAsiaTheme="minorEastAsia"/>
                <w:bCs/>
                <w:szCs w:val="21"/>
              </w:rPr>
            </w:pPr>
            <w:r>
              <w:rPr>
                <w:rFonts w:hint="eastAsia" w:hAnsiTheme="minorEastAsia" w:eastAsiaTheme="minorEastAsia"/>
                <w:bCs/>
                <w:szCs w:val="21"/>
              </w:rPr>
              <w:t>参加环境因素辨识和评价人员：陈松林、魏东、黄刚强、万承芳、杨润苟    时间：2020年1月15日</w:t>
            </w:r>
          </w:p>
          <w:p>
            <w:pPr>
              <w:spacing w:beforeLines="20" w:afterLines="20" w:line="288" w:lineRule="auto"/>
              <w:ind w:firstLine="420" w:firstLineChars="200"/>
              <w:rPr>
                <w:rFonts w:hAnsiTheme="minorEastAsia" w:eastAsiaTheme="minorEastAsia"/>
                <w:bCs/>
                <w:szCs w:val="21"/>
              </w:rPr>
            </w:pPr>
            <w:r>
              <w:rPr>
                <w:rFonts w:hint="eastAsia" w:hAnsiTheme="minorEastAsia" w:eastAsiaTheme="minorEastAsia"/>
                <w:bCs/>
                <w:szCs w:val="21"/>
              </w:rPr>
              <w:t>查到《重要环境因素清单》已识别重要环境因素包括：噪音排放、废水排放、粉尘排放、固废排放等，明确控制措施和责任部门，基本合理。</w:t>
            </w:r>
          </w:p>
          <w:p>
            <w:pPr>
              <w:spacing w:beforeLines="20" w:afterLines="20" w:line="288" w:lineRule="auto"/>
              <w:ind w:firstLine="420" w:firstLineChars="200"/>
              <w:rPr>
                <w:rFonts w:hAnsiTheme="minorEastAsia" w:eastAsiaTheme="minorEastAsia"/>
                <w:bCs/>
                <w:szCs w:val="21"/>
              </w:rPr>
            </w:pPr>
            <w:r>
              <w:rPr>
                <w:rFonts w:hint="eastAsia" w:hAnsiTheme="minorEastAsia" w:eastAsiaTheme="minorEastAsia"/>
                <w:bCs/>
                <w:szCs w:val="21"/>
              </w:rPr>
              <w:t>查到《危险源辨识与评价一览表》，内容有：作业活动名称、潜在危险因素、时态、状态、可导致事故、可采取控制措施、危险发生的可能性L、损失后果C、频繁程度E、等。识别出生产部危险源有：触电、火灾、机械伤害、听力损害、爆炸、高空坠落、中毒、职业病、人身伤害等。优先控制风险采用“LEC”方法进行评价。提供《不可接受风险清单》有：火灾，触电、噪声伤害、机械伤害等，并制定有控制措施。</w:t>
            </w:r>
          </w:p>
          <w:p>
            <w:pPr>
              <w:spacing w:beforeLines="20" w:afterLines="20" w:line="288" w:lineRule="auto"/>
              <w:ind w:firstLine="420" w:firstLineChars="200"/>
              <w:rPr>
                <w:rFonts w:hint="eastAsia" w:hAnsiTheme="minorEastAsia" w:eastAsiaTheme="minorEastAsia"/>
                <w:bCs/>
                <w:szCs w:val="21"/>
              </w:rPr>
            </w:pPr>
            <w:r>
              <w:rPr>
                <w:rFonts w:hint="eastAsia" w:hAnsiTheme="minorEastAsia" w:eastAsiaTheme="minorEastAsia"/>
                <w:bCs/>
                <w:szCs w:val="21"/>
              </w:rPr>
              <w:t>参加危险源辨识和评价人员：陈松林、魏东、黄刚强、万承芳、杨润苟    时间：2020年1月15日。以上危险源识别基本全面、无遗漏，评价基本合理。</w:t>
            </w:r>
          </w:p>
          <w:p>
            <w:pPr>
              <w:spacing w:beforeLines="20" w:afterLines="20" w:line="288" w:lineRule="auto"/>
              <w:ind w:firstLine="420" w:firstLineChars="200"/>
              <w:rPr>
                <w:rFonts w:hint="eastAsia" w:hAnsiTheme="minorEastAsia" w:eastAsiaTheme="minorEastAsia"/>
                <w:bCs/>
                <w:szCs w:val="21"/>
              </w:rPr>
            </w:pPr>
            <w:r>
              <w:rPr>
                <w:rFonts w:hint="eastAsia" w:hAnsiTheme="minorEastAsia" w:eastAsiaTheme="minorEastAsia"/>
                <w:bCs/>
                <w:szCs w:val="21"/>
              </w:rPr>
              <w:t>与二阶段远程审核一致，确认符合要求。</w:t>
            </w:r>
          </w:p>
          <w:p>
            <w:pPr>
              <w:snapToGrid w:val="0"/>
              <w:spacing w:beforeLines="20" w:afterLines="20" w:line="288" w:lineRule="auto"/>
              <w:ind w:right="392" w:firstLine="420" w:firstLineChars="200"/>
              <w:rPr>
                <w:rFonts w:eastAsiaTheme="minorEastAsia"/>
                <w:szCs w:val="21"/>
              </w:rPr>
            </w:pPr>
          </w:p>
        </w:tc>
        <w:tc>
          <w:tcPr>
            <w:tcW w:w="1585" w:type="dxa"/>
          </w:tcPr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合规义务、法律法规和其他要求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E6.1.3</w:t>
            </w:r>
          </w:p>
        </w:tc>
        <w:tc>
          <w:tcPr>
            <w:tcW w:w="10004" w:type="dxa"/>
            <w:vAlign w:val="center"/>
          </w:tcPr>
          <w:p>
            <w:pPr>
              <w:snapToGrid w:val="0"/>
              <w:spacing w:line="360" w:lineRule="auto"/>
              <w:ind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编制了《环境和职业健康安全法律法规控制程序》，对法律法规的识别更新和应用进行规定，行政部为主控部门。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部门人员介绍：主要通过网络、报纸杂志电视等新闻媒体、购买、上级下发等多种形式收集本公司适用的法律法规。提供了《环境法律法规及其他要求清单》、《职业健康安全法律法规及其他要求清单》，识别了企业相关环境和职业健康安全法律法规、标准和其他要求。如《中华人民共和国环境保护法》、《中华人民共和国安全生产法》、《中华人民共和国环境噪声污染防治法》、《中华人民共和国职业病防治法》、《中华人民共和国消防法》、《中华人民共和国大气污染防治法》、《江西省环境污染防治条例》、《江西省安全生产条例》、《机关、团体、企业、事业单位消防安全管理规定》等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已识别法律法规及其它要求的适用条款，并与环境因素、危险源相对应。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公司收集的法律、法规及其它要求部分已过期，现场指正。各部门如有需要到行政部查阅。公司通过培训、</w:t>
            </w:r>
            <w:r>
              <w:rPr>
                <w:rFonts w:hint="eastAsia" w:hAnsiTheme="minorEastAsia" w:eastAsiaTheme="minorEastAsia"/>
                <w:szCs w:val="21"/>
              </w:rPr>
              <w:t>与二阶段远程审核一致，确认符合要求。</w:t>
            </w:r>
            <w:r>
              <w:rPr>
                <w:rFonts w:hAnsiTheme="minorEastAsia" w:eastAsiaTheme="minorEastAsia"/>
                <w:szCs w:val="21"/>
              </w:rPr>
              <w:t>会议等方式向有关员工传达法律、法规及其它要求的相关要求。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与二阶段远程审核一致，确认符合要求。</w:t>
            </w:r>
          </w:p>
        </w:tc>
        <w:tc>
          <w:tcPr>
            <w:tcW w:w="1585" w:type="dxa"/>
          </w:tcPr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措施的策划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E6.1.4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公司根据环境因素和危险源的风险辨识结果，分别制定出《重要环境因素清单》、《不可接受风险清单》，清单内明确了控制措施计划，通过具体的措施进行有效控制：目标、管理方案、管理制度运行控制、应急预案、日常检查、日常培训。</w:t>
            </w:r>
          </w:p>
          <w:p>
            <w:pPr>
              <w:spacing w:line="360" w:lineRule="auto"/>
              <w:ind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每年对公司适用的合规义务进行识别更新并定期评价、检查。</w:t>
            </w:r>
          </w:p>
          <w:p>
            <w:pPr>
              <w:spacing w:line="360" w:lineRule="auto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  <w:p>
            <w:pPr>
              <w:spacing w:line="360" w:lineRule="auto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与二阶段远程审核一致，确认符合要求。</w:t>
            </w:r>
          </w:p>
        </w:tc>
        <w:tc>
          <w:tcPr>
            <w:tcW w:w="1585" w:type="dxa"/>
          </w:tcPr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合规性评价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szCs w:val="21"/>
              </w:rPr>
              <w:t>E9.1.2</w:t>
            </w:r>
          </w:p>
        </w:tc>
        <w:tc>
          <w:tcPr>
            <w:tcW w:w="10004" w:type="dxa"/>
            <w:vAlign w:val="center"/>
          </w:tcPr>
          <w:p>
            <w:pPr>
              <w:snapToGrid w:val="0"/>
              <w:spacing w:line="360" w:lineRule="auto"/>
              <w:ind w:right="392"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编制了《合规性评价控制程序》，其中规定了对本公司法规及其他要求的合规性评价的要求。</w:t>
            </w:r>
          </w:p>
          <w:p>
            <w:pPr>
              <w:snapToGrid w:val="0"/>
              <w:spacing w:line="360" w:lineRule="auto"/>
              <w:ind w:right="392"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现场提供了《合规性评价报告》、《评价记录综述》</w:t>
            </w:r>
            <w:r>
              <w:rPr>
                <w:rFonts w:eastAsiaTheme="minorEastAsia"/>
                <w:szCs w:val="21"/>
              </w:rPr>
              <w:t>,</w:t>
            </w:r>
            <w:r>
              <w:rPr>
                <w:rFonts w:hAnsiTheme="minorEastAsia" w:eastAsiaTheme="minorEastAsia"/>
                <w:szCs w:val="21"/>
              </w:rPr>
              <w:t>对公司适用的法律法规及其他要求的遵守情况进行了评价，评价结论：从本次检查的结果来看，我公司没有违反国家法律、法规及相关标准，能严格遵守国家有关环境和职业健康安全管理方面的相关规定，密切关注法律法规的变化，并适时调整，严格按体系标准执行。</w:t>
            </w:r>
          </w:p>
          <w:p>
            <w:pPr>
              <w:snapToGrid w:val="0"/>
              <w:spacing w:line="360" w:lineRule="auto"/>
              <w:ind w:right="392"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评价人：</w:t>
            </w:r>
            <w:r>
              <w:rPr>
                <w:rFonts w:hint="eastAsia" w:hAnsiTheme="minorEastAsia" w:eastAsiaTheme="minorEastAsia"/>
                <w:szCs w:val="21"/>
              </w:rPr>
              <w:t>陈松林、魏东、黄刚强、杨润苟、万承芳</w:t>
            </w:r>
            <w:r>
              <w:rPr>
                <w:rFonts w:hAnsiTheme="minorEastAsia" w:eastAsiaTheme="minorEastAsia"/>
                <w:szCs w:val="21"/>
              </w:rPr>
              <w:t>等，</w:t>
            </w:r>
          </w:p>
          <w:p>
            <w:pPr>
              <w:snapToGrid w:val="0"/>
              <w:spacing w:line="360" w:lineRule="auto"/>
              <w:ind w:right="392" w:firstLine="420" w:firstLineChars="200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评价日期：</w:t>
            </w:r>
            <w:r>
              <w:rPr>
                <w:rFonts w:eastAsiaTheme="minorEastAsia"/>
                <w:szCs w:val="21"/>
              </w:rPr>
              <w:t>20</w:t>
            </w:r>
            <w:r>
              <w:rPr>
                <w:rFonts w:hint="eastAsia" w:eastAsiaTheme="minorEastAsia"/>
                <w:szCs w:val="21"/>
              </w:rPr>
              <w:t>20</w:t>
            </w:r>
            <w:r>
              <w:rPr>
                <w:rFonts w:hAnsiTheme="minorEastAsia" w:eastAsiaTheme="minorEastAsia"/>
                <w:szCs w:val="21"/>
              </w:rPr>
              <w:t>年</w:t>
            </w:r>
            <w:r>
              <w:rPr>
                <w:rFonts w:hint="eastAsia" w:eastAsiaTheme="minorEastAsia"/>
                <w:szCs w:val="21"/>
              </w:rPr>
              <w:t>1</w:t>
            </w:r>
            <w:r>
              <w:rPr>
                <w:rFonts w:hAnsiTheme="minorEastAsia" w:eastAsiaTheme="minorEastAsia"/>
                <w:szCs w:val="21"/>
              </w:rPr>
              <w:t>月</w:t>
            </w:r>
            <w:r>
              <w:rPr>
                <w:rFonts w:hint="eastAsia" w:eastAsiaTheme="minorEastAsia"/>
                <w:szCs w:val="21"/>
              </w:rPr>
              <w:t>16</w:t>
            </w:r>
            <w:r>
              <w:rPr>
                <w:rFonts w:hAnsiTheme="minorEastAsia" w:eastAsiaTheme="minorEastAsia"/>
                <w:szCs w:val="21"/>
              </w:rPr>
              <w:t>日。</w:t>
            </w:r>
          </w:p>
          <w:p>
            <w:pPr>
              <w:spacing w:line="360" w:lineRule="auto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部门已对有关法规及其他要求进行识别、评价，满足要求。</w:t>
            </w:r>
          </w:p>
          <w:p>
            <w:pPr>
              <w:spacing w:line="360" w:lineRule="auto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与二阶段远程审核一致，确认符合要求。</w:t>
            </w:r>
          </w:p>
        </w:tc>
        <w:tc>
          <w:tcPr>
            <w:tcW w:w="1585" w:type="dxa"/>
          </w:tcPr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监视、测量、分析和评价</w:t>
            </w:r>
          </w:p>
        </w:tc>
        <w:tc>
          <w:tcPr>
            <w:tcW w:w="960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szCs w:val="21"/>
              </w:rPr>
              <w:t>E9.1.1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jc w:val="left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查到</w:t>
            </w:r>
            <w:r>
              <w:rPr>
                <w:rFonts w:eastAsiaTheme="minorEastAsia"/>
                <w:szCs w:val="21"/>
              </w:rPr>
              <w:t>20</w:t>
            </w:r>
            <w:r>
              <w:rPr>
                <w:rFonts w:hint="eastAsia" w:eastAsiaTheme="minorEastAsia"/>
                <w:szCs w:val="21"/>
              </w:rPr>
              <w:t>20</w:t>
            </w:r>
            <w:r>
              <w:rPr>
                <w:rFonts w:hAnsiTheme="minorEastAsia" w:eastAsiaTheme="minorEastAsia"/>
                <w:szCs w:val="21"/>
              </w:rPr>
              <w:t>年</w:t>
            </w:r>
            <w:r>
              <w:rPr>
                <w:rFonts w:hint="eastAsia" w:eastAsiaTheme="minorEastAsia"/>
                <w:szCs w:val="21"/>
              </w:rPr>
              <w:t>4</w:t>
            </w:r>
            <w:r>
              <w:rPr>
                <w:rFonts w:hAnsiTheme="minorEastAsia" w:eastAsiaTheme="minorEastAsia"/>
                <w:szCs w:val="21"/>
              </w:rPr>
              <w:t>月</w:t>
            </w:r>
            <w:r>
              <w:rPr>
                <w:rFonts w:hint="eastAsia" w:eastAsiaTheme="minorEastAsia"/>
                <w:szCs w:val="21"/>
              </w:rPr>
              <w:t>1</w:t>
            </w:r>
            <w:r>
              <w:rPr>
                <w:rFonts w:hAnsiTheme="minorEastAsia" w:eastAsiaTheme="minorEastAsia"/>
                <w:szCs w:val="21"/>
              </w:rPr>
              <w:t>日</w:t>
            </w:r>
            <w:r>
              <w:rPr>
                <w:rFonts w:eastAsiaTheme="minorEastAsia"/>
                <w:szCs w:val="21"/>
              </w:rPr>
              <w:t>“</w:t>
            </w:r>
            <w:r>
              <w:rPr>
                <w:rFonts w:hAnsiTheme="minorEastAsia" w:eastAsiaTheme="minorEastAsia"/>
                <w:szCs w:val="21"/>
              </w:rPr>
              <w:t>目标考核表</w:t>
            </w:r>
            <w:r>
              <w:rPr>
                <w:rFonts w:eastAsiaTheme="minorEastAsia"/>
                <w:szCs w:val="21"/>
              </w:rPr>
              <w:t>”</w:t>
            </w:r>
            <w:r>
              <w:rPr>
                <w:rFonts w:hAnsiTheme="minorEastAsia" w:eastAsiaTheme="minorEastAsia"/>
                <w:szCs w:val="21"/>
              </w:rPr>
              <w:t>，检查考核已完成，考核人陈松林、张良等。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查到《环境、安全检查记录》，检查项目内容涉及：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加工</w:t>
            </w:r>
            <w:r>
              <w:rPr>
                <w:rFonts w:eastAsiaTheme="minorEastAsia"/>
                <w:szCs w:val="21"/>
              </w:rPr>
              <w:t>/</w:t>
            </w:r>
            <w:r>
              <w:rPr>
                <w:rFonts w:hAnsiTheme="minorEastAsia" w:eastAsiaTheme="minorEastAsia"/>
                <w:szCs w:val="21"/>
              </w:rPr>
              <w:t>办公</w:t>
            </w:r>
            <w:r>
              <w:rPr>
                <w:rFonts w:eastAsiaTheme="minorEastAsia"/>
                <w:szCs w:val="21"/>
              </w:rPr>
              <w:t>/</w:t>
            </w:r>
            <w:r>
              <w:rPr>
                <w:rFonts w:hAnsiTheme="minorEastAsia" w:eastAsiaTheme="minorEastAsia"/>
                <w:szCs w:val="21"/>
              </w:rPr>
              <w:t>生活区域卫生是否清理干净，固废情况、废气排放、危废收集情况，办公区域是否安全用电，消防设施是否完好，消防通道是否畅通，人</w:t>
            </w:r>
            <w:r>
              <w:rPr>
                <w:rFonts w:hint="eastAsia" w:hAnsiTheme="minorEastAsia" w:eastAsiaTheme="minorEastAsia"/>
                <w:szCs w:val="21"/>
              </w:rPr>
              <w:t>员持证上岗、是否按规定穿戴防护用品，</w:t>
            </w:r>
            <w:r>
              <w:rPr>
                <w:rFonts w:hAnsiTheme="minorEastAsia" w:eastAsiaTheme="minorEastAsia"/>
                <w:szCs w:val="21"/>
              </w:rPr>
              <w:t>能源消耗等。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AnsiTheme="minorEastAsia"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抽查</w:t>
            </w:r>
            <w:r>
              <w:rPr>
                <w:rFonts w:eastAsiaTheme="minorEastAsia"/>
                <w:szCs w:val="21"/>
              </w:rPr>
              <w:t>20</w:t>
            </w:r>
            <w:r>
              <w:rPr>
                <w:rFonts w:hint="eastAsia" w:eastAsiaTheme="minorEastAsia"/>
                <w:szCs w:val="21"/>
              </w:rPr>
              <w:t>19</w:t>
            </w:r>
            <w:r>
              <w:rPr>
                <w:rFonts w:eastAsiaTheme="minorEastAsia"/>
                <w:szCs w:val="21"/>
              </w:rPr>
              <w:t>.</w:t>
            </w:r>
            <w:r>
              <w:rPr>
                <w:rFonts w:hint="eastAsia" w:eastAsiaTheme="minorEastAsia"/>
                <w:szCs w:val="21"/>
              </w:rPr>
              <w:t>12</w:t>
            </w:r>
            <w:r>
              <w:rPr>
                <w:rFonts w:eastAsiaTheme="minorEastAsia"/>
                <w:szCs w:val="21"/>
              </w:rPr>
              <w:t>.</w:t>
            </w:r>
            <w:r>
              <w:rPr>
                <w:rFonts w:hint="eastAsia" w:eastAsiaTheme="minorEastAsia"/>
                <w:szCs w:val="21"/>
              </w:rPr>
              <w:t>30</w:t>
            </w:r>
            <w:r>
              <w:rPr>
                <w:rFonts w:hAnsiTheme="minorEastAsia" w:eastAsiaTheme="minorEastAsia"/>
                <w:szCs w:val="21"/>
              </w:rPr>
              <w:t>日、</w:t>
            </w:r>
            <w:r>
              <w:rPr>
                <w:rFonts w:eastAsiaTheme="minorEastAsia"/>
                <w:szCs w:val="21"/>
              </w:rPr>
              <w:t>20</w:t>
            </w:r>
            <w:r>
              <w:rPr>
                <w:rFonts w:hint="eastAsia" w:eastAsiaTheme="minorEastAsia"/>
                <w:szCs w:val="21"/>
              </w:rPr>
              <w:t>20.3</w:t>
            </w:r>
            <w:r>
              <w:rPr>
                <w:rFonts w:eastAsiaTheme="minorEastAsia"/>
                <w:szCs w:val="21"/>
              </w:rPr>
              <w:t>.</w:t>
            </w:r>
            <w:r>
              <w:rPr>
                <w:rFonts w:hint="eastAsia" w:eastAsiaTheme="minorEastAsia"/>
                <w:szCs w:val="21"/>
              </w:rPr>
              <w:t>31</w:t>
            </w:r>
            <w:r>
              <w:rPr>
                <w:rFonts w:hAnsiTheme="minorEastAsia" w:eastAsiaTheme="minorEastAsia"/>
                <w:szCs w:val="21"/>
              </w:rPr>
              <w:t>日、</w:t>
            </w:r>
            <w:r>
              <w:rPr>
                <w:rFonts w:eastAsiaTheme="minorEastAsia"/>
                <w:szCs w:val="21"/>
              </w:rPr>
              <w:t>20</w:t>
            </w:r>
            <w:r>
              <w:rPr>
                <w:rFonts w:hint="eastAsia" w:eastAsiaTheme="minorEastAsia"/>
                <w:szCs w:val="21"/>
              </w:rPr>
              <w:t>20</w:t>
            </w:r>
            <w:r>
              <w:rPr>
                <w:rFonts w:eastAsiaTheme="minorEastAsia"/>
                <w:szCs w:val="21"/>
              </w:rPr>
              <w:t>.</w:t>
            </w:r>
            <w:r>
              <w:rPr>
                <w:rFonts w:hint="eastAsia" w:eastAsiaTheme="minorEastAsia"/>
                <w:szCs w:val="21"/>
              </w:rPr>
              <w:t>5</w:t>
            </w:r>
            <w:r>
              <w:rPr>
                <w:rFonts w:eastAsiaTheme="minorEastAsia"/>
                <w:szCs w:val="21"/>
              </w:rPr>
              <w:t>.</w:t>
            </w:r>
            <w:r>
              <w:rPr>
                <w:rFonts w:hint="eastAsia" w:eastAsiaTheme="minorEastAsia"/>
                <w:szCs w:val="21"/>
              </w:rPr>
              <w:t>29</w:t>
            </w:r>
            <w:r>
              <w:rPr>
                <w:rFonts w:hAnsiTheme="minorEastAsia" w:eastAsiaTheme="minorEastAsia"/>
                <w:szCs w:val="21"/>
              </w:rPr>
              <w:t>日检查结果均正常，检查人魏东。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eastAsiaTheme="minorEastAsia"/>
                <w:szCs w:val="21"/>
              </w:rPr>
            </w:pPr>
            <w:r>
              <w:rPr>
                <w:rFonts w:hint="eastAsia" w:eastAsiaTheme="minorEastAsia"/>
                <w:szCs w:val="21"/>
              </w:rPr>
              <w:t>提供了食堂人员罗爱红体检健康合格证，发证日期：2019.9.23。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AnsiTheme="minorEastAsia"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提供了</w:t>
            </w:r>
            <w:r>
              <w:rPr>
                <w:rFonts w:hint="eastAsia" w:hAnsiTheme="minorEastAsia" w:eastAsiaTheme="minorEastAsia"/>
                <w:szCs w:val="21"/>
              </w:rPr>
              <w:t>2020年4月份</w:t>
            </w:r>
            <w:r>
              <w:rPr>
                <w:rFonts w:hAnsiTheme="minorEastAsia" w:eastAsiaTheme="minorEastAsia"/>
                <w:szCs w:val="21"/>
              </w:rPr>
              <w:t>公司人员体检记录，查看了喷塑工</w:t>
            </w:r>
            <w:r>
              <w:rPr>
                <w:rFonts w:hint="eastAsia" w:hAnsiTheme="minorEastAsia" w:eastAsiaTheme="minorEastAsia"/>
                <w:szCs w:val="21"/>
              </w:rPr>
              <w:t>皱建清</w:t>
            </w:r>
            <w:r>
              <w:rPr>
                <w:rFonts w:hAnsiTheme="minorEastAsia" w:eastAsiaTheme="minorEastAsia"/>
                <w:szCs w:val="21"/>
              </w:rPr>
              <w:t>、电焊工聂景泉的体检记录，无异常。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drawing>
                <wp:inline distT="0" distB="0" distL="0" distR="0">
                  <wp:extent cx="2606675" cy="1689100"/>
                  <wp:effectExtent l="19050" t="0" r="2658" b="0"/>
                  <wp:docPr id="2" name="图片 1" descr="C:\Users\ADMINI~1.USE\AppData\Local\Temp\159260743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ADMINI~1.USE\AppData\Local\Temp\15926074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245" cy="169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360" w:lineRule="auto"/>
              <w:ind w:firstLine="420" w:firstLineChars="200"/>
              <w:jc w:val="left"/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未有上级主管部门的监督检查。</w:t>
            </w:r>
          </w:p>
          <w:p>
            <w:pPr>
              <w:spacing w:line="360" w:lineRule="auto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公司经营能遵守相关的法律法规，没有违反环境、职业健康安全法律法规现象，近期没有发生环境与职业健康安全的事故。</w:t>
            </w:r>
          </w:p>
          <w:p>
            <w:pPr>
              <w:spacing w:line="360" w:lineRule="auto"/>
              <w:ind w:firstLine="420" w:firstLineChars="200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szCs w:val="21"/>
              </w:rPr>
              <w:t>与二阶段远程审核一致，确认符合要求。</w:t>
            </w:r>
          </w:p>
        </w:tc>
        <w:tc>
          <w:tcPr>
            <w:tcW w:w="1585" w:type="dxa"/>
          </w:tcPr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运行控制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E8.1</w:t>
            </w:r>
          </w:p>
          <w:p>
            <w:pPr>
              <w:rPr>
                <w:rFonts w:eastAsiaTheme="minorEastAsia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公司策划了如下要求对环境、职业健康安全体系运行进行控制，具体如下：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szCs w:val="21"/>
              </w:rPr>
              <w:t xml:space="preserve"> 1</w:t>
            </w:r>
            <w:r>
              <w:rPr>
                <w:rFonts w:hAnsiTheme="minorEastAsia" w:eastAsiaTheme="minorEastAsia"/>
                <w:color w:val="000000"/>
                <w:szCs w:val="21"/>
              </w:rPr>
              <w:t>、公司编制了管理规定和程序文件，规定了生产、采购、销售、办公过程环境管理的要求。</w:t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szCs w:val="21"/>
              </w:rPr>
              <w:t>2</w:t>
            </w:r>
            <w:r>
              <w:rPr>
                <w:rFonts w:hAnsiTheme="minorEastAsia" w:eastAsiaTheme="minorEastAsia"/>
                <w:color w:val="000000"/>
                <w:szCs w:val="21"/>
              </w:rPr>
              <w:t>、废水管控：</w:t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企业无工业废水外排，主要是厂区生活废水，采用隔油池+三级厌氧化粪池+地埋式生化处理装置处理，废水处理后排入赣江。</w:t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3、废气管控：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szCs w:val="21"/>
              </w:rPr>
              <w:t>企业废气主要是加热炉废气、喷涂粉尘、烘烤废气及无组织废气；加热炉产生的废气经水膜除尘处理后排放；喷塑工序喷涂室内产生的粉末涂料粉尘采用抽风式布袋回收，经布袋除尘处理后排放；喷塑烘烤工序，涂料固化时，会有少量的挥发有机气体产生，采用活性炭吸附处理；焊接工序会产生焊接烟尘，呈无组织形式排放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int="eastAsia" w:eastAsiaTheme="minorEastAsia"/>
                <w:color w:val="000000"/>
                <w:szCs w:val="21"/>
              </w:rPr>
              <w:t>4、噪声管控：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int="eastAsia" w:eastAsiaTheme="minorEastAsia"/>
                <w:color w:val="000000"/>
                <w:szCs w:val="21"/>
              </w:rPr>
              <w:t>噪声主要是机械设备运行时产生的，主要设备有剪切机、冲床、折弯机等机械设备；采取厂房内操作和选用低噪声的设备和工具，同时加强设备的检查和维保，确保机械设备在正常工况下运行，员工佩带手套、耳塞等防护用品作业；其他工序基本无噪声，无高噪声设备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int="eastAsia" w:eastAsiaTheme="minorEastAsia"/>
                <w:color w:val="000000"/>
                <w:szCs w:val="21"/>
              </w:rPr>
              <w:t>5、固废管控：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int="eastAsia" w:eastAsiaTheme="minorEastAsia"/>
                <w:color w:val="000000"/>
                <w:szCs w:val="21"/>
              </w:rPr>
              <w:t>生产过程中主要为钢材、铝材等下料产生废边角余料粉尘，统一位置存放，收集的边角废料，集中收集卖给回收单位；生活垃圾由当地环卫所处理，公司缴纳处理费。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int="eastAsia" w:eastAsiaTheme="minorEastAsia"/>
                <w:color w:val="000000"/>
                <w:szCs w:val="21"/>
              </w:rPr>
              <w:t>危险废物为废包装桶、废过滤棉、废活性炭、表面处理工序废液、喷涂工序废液均属于危险废物，经各自收集桶收集后暂存于危险废物暂存间，定期交由有资质单位处置；查危废处理记录，公司提供了《危险废物产生一览表》，危废有废手套、废抹布等，暂存于危险废物暂存间，待存储一定量后，联系处置机构进行处置。提供了《废物（液）处理处置工业服务合同》,见附件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szCs w:val="21"/>
              </w:rPr>
              <w:drawing>
                <wp:inline distT="0" distB="0" distL="0" distR="0">
                  <wp:extent cx="2486025" cy="3518535"/>
                  <wp:effectExtent l="19050" t="0" r="8906" b="0"/>
                  <wp:docPr id="3" name="图片 2" descr="C:\Users\ADMINI~1.USE\AppData\Local\Temp\WeChat Files\c342526a7dc49f3ac428662b6122c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ADMINI~1.USE\AppData\Local\Temp\WeChat Files\c342526a7dc49f3ac428662b6122c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40" cy="351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eastAsiaTheme="minorEastAsia"/>
                <w:color w:val="000000"/>
                <w:szCs w:val="21"/>
              </w:rPr>
              <w:drawing>
                <wp:inline distT="0" distB="0" distL="0" distR="0">
                  <wp:extent cx="2640965" cy="3717925"/>
                  <wp:effectExtent l="0" t="0" r="635" b="3175"/>
                  <wp:docPr id="4" name="图片 3" descr="C:\Users\ADMINI~1.USE\AppData\Local\Temp\159260801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ADMINI~1.USE\AppData\Local\Temp\159260801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80" cy="37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提供三废检测报告，检测单位：江西洪泰检测有限公司；时间：2019年9月17日；检测项目：废水、废气、噪音等。报告各测数据在标准范围之内，见附件报告。</w:t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 xml:space="preserve"> </w:t>
            </w:r>
            <w:r>
              <w:rPr>
                <w:rFonts w:hint="eastAsia" w:hAnsiTheme="minorEastAsia" w:eastAsiaTheme="minorEastAsia"/>
                <w:color w:val="000000"/>
                <w:szCs w:val="21"/>
              </w:rPr>
              <w:drawing>
                <wp:inline distT="0" distB="0" distL="0" distR="0">
                  <wp:extent cx="2581275" cy="3827145"/>
                  <wp:effectExtent l="19050" t="0" r="9156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720" cy="3827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hAnsiTheme="minorEastAsia" w:eastAsiaTheme="minorEastAsia"/>
                <w:color w:val="000000"/>
                <w:szCs w:val="21"/>
              </w:rPr>
              <w:t xml:space="preserve"> </w:t>
            </w:r>
            <w:r>
              <w:rPr>
                <w:rFonts w:hint="eastAsia" w:hAnsiTheme="minorEastAsia" w:eastAsiaTheme="minorEastAsia"/>
                <w:color w:val="000000"/>
                <w:szCs w:val="21"/>
              </w:rPr>
              <w:drawing>
                <wp:inline distT="0" distB="0" distL="0" distR="0">
                  <wp:extent cx="2555240" cy="3742055"/>
                  <wp:effectExtent l="19050" t="0" r="0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595" cy="374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 xml:space="preserve"> </w:t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 xml:space="preserve"> </w:t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 xml:space="preserve"> </w:t>
            </w:r>
            <w:r>
              <w:rPr>
                <w:rFonts w:hint="eastAsia" w:hAnsiTheme="minorEastAsia" w:eastAsiaTheme="minorEastAsia"/>
                <w:color w:val="000000"/>
                <w:szCs w:val="21"/>
              </w:rPr>
              <w:drawing>
                <wp:inline distT="0" distB="0" distL="0" distR="0">
                  <wp:extent cx="2639060" cy="3852545"/>
                  <wp:effectExtent l="19050" t="0" r="8860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954" cy="385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hAnsiTheme="minorEastAsia" w:eastAsiaTheme="minorEastAsia"/>
                <w:color w:val="000000"/>
                <w:szCs w:val="21"/>
              </w:rPr>
              <w:t xml:space="preserve"> </w:t>
            </w:r>
            <w:r>
              <w:rPr>
                <w:rFonts w:hint="eastAsia" w:hAnsiTheme="minorEastAsia" w:eastAsiaTheme="minorEastAsia"/>
                <w:color w:val="000000"/>
                <w:szCs w:val="21"/>
              </w:rPr>
              <w:drawing>
                <wp:inline distT="0" distB="0" distL="0" distR="0">
                  <wp:extent cx="2595245" cy="3806190"/>
                  <wp:effectExtent l="19050" t="0" r="0" b="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07" cy="380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</w:p>
          <w:p>
            <w:pPr>
              <w:snapToGrid w:val="0"/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drawing>
                <wp:inline distT="0" distB="0" distL="0" distR="0">
                  <wp:extent cx="2639060" cy="4094480"/>
                  <wp:effectExtent l="19050" t="0" r="8860" b="0"/>
                  <wp:docPr id="1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05" cy="40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Theme="minorEastAsia" w:eastAsiaTheme="minorEastAsia"/>
                <w:color w:val="000000"/>
                <w:szCs w:val="21"/>
              </w:rPr>
              <w:t xml:space="preserve"> </w:t>
            </w:r>
            <w:r>
              <w:rPr>
                <w:rFonts w:hAnsiTheme="minorEastAsia" w:eastAsiaTheme="minorEastAsia"/>
                <w:color w:val="000000"/>
                <w:szCs w:val="21"/>
              </w:rPr>
              <w:drawing>
                <wp:inline distT="0" distB="0" distL="0" distR="0">
                  <wp:extent cx="2724150" cy="4199890"/>
                  <wp:effectExtent l="19050" t="0" r="0" b="0"/>
                  <wp:docPr id="1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45" cy="420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drawing>
                <wp:inline distT="0" distB="0" distL="0" distR="0">
                  <wp:extent cx="2713355" cy="4045585"/>
                  <wp:effectExtent l="19050" t="0" r="0" b="0"/>
                  <wp:docPr id="1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214" cy="404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1"/>
            </w:pPr>
            <w:r>
              <w:rPr>
                <w:rFonts w:hint="eastAsia"/>
              </w:rPr>
              <w:t>6、能源资源管控：</w:t>
            </w:r>
          </w:p>
          <w:p>
            <w:pPr>
              <w:spacing w:line="360" w:lineRule="auto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生产过程注意节水、节电、节约钢材等，人走关闭设备和照明开关，现场未发现有漏水和浪费电能的现象。</w:t>
            </w:r>
          </w:p>
          <w:p>
            <w:pPr>
              <w:spacing w:line="360" w:lineRule="auto"/>
              <w:ind w:firstLine="421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7、产品生命周期的环境管控：</w:t>
            </w:r>
          </w:p>
          <w:p>
            <w:pPr>
              <w:spacing w:line="360" w:lineRule="auto"/>
              <w:ind w:firstLine="421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公司从工艺设计和采购产品时已考虑了产品的环保性（包括其包装），生产过程中，严格按照环保等管理制度实施，控制好辅助材料的用量，避免浪费，生命周期终了时钢材、铝材等还可以回收再利用。</w:t>
            </w:r>
          </w:p>
          <w:p>
            <w:pPr>
              <w:spacing w:line="360" w:lineRule="auto"/>
              <w:ind w:firstLine="421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8、潜在火灾管控：</w:t>
            </w:r>
          </w:p>
          <w:p>
            <w:pPr>
              <w:spacing w:line="360" w:lineRule="auto"/>
              <w:ind w:firstLine="421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公司生产车间和办公区域配备了灭火器、消防栓，均符合要求。</w:t>
            </w:r>
          </w:p>
          <w:p>
            <w:pPr>
              <w:spacing w:line="360" w:lineRule="auto"/>
              <w:ind w:firstLine="421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9、安全防护：</w:t>
            </w:r>
          </w:p>
          <w:p>
            <w:pPr>
              <w:spacing w:line="360" w:lineRule="auto"/>
              <w:ind w:firstLine="421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公司给员工发放手套、口罩、工作服、耳塞等劳保用品。</w:t>
            </w:r>
          </w:p>
          <w:p>
            <w:pPr>
              <w:spacing w:line="360" w:lineRule="auto"/>
              <w:ind w:firstLine="421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10、能提供防止员工意外伤害加重的急救药品如创可贴、杀菌药水等。</w:t>
            </w:r>
          </w:p>
          <w:p>
            <w:pPr>
              <w:spacing w:line="360" w:lineRule="auto"/>
              <w:ind w:firstLine="421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11、为主要长期员工上社保，查见了交款证明。</w:t>
            </w:r>
          </w:p>
          <w:p>
            <w:pPr>
              <w:spacing w:line="360" w:lineRule="auto"/>
              <w:ind w:firstLine="421"/>
              <w:rPr>
                <w:rFonts w:hAnsiTheme="minorEastAsia" w:eastAsiaTheme="minorEastAsia"/>
                <w:color w:val="000000"/>
                <w:szCs w:val="21"/>
                <w:highlight w:val="none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12、为环境和职业健康安全管理体系运行提供了财务支持，查2019年12月至</w:t>
            </w:r>
            <w:r>
              <w:rPr>
                <w:rFonts w:hint="eastAsia" w:hAnsiTheme="minorEastAsia" w:eastAsiaTheme="minorEastAsia"/>
                <w:color w:val="000000"/>
                <w:szCs w:val="21"/>
                <w:highlight w:val="none"/>
              </w:rPr>
              <w:t>今用于环保、安全资金投入约3.</w:t>
            </w:r>
            <w:r>
              <w:rPr>
                <w:rFonts w:hint="eastAsia" w:hAnsiTheme="minorEastAsia" w:eastAsiaTheme="minorEastAsia"/>
                <w:color w:val="000000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hAnsiTheme="minorEastAsia" w:eastAsiaTheme="minorEastAsia"/>
                <w:color w:val="000000"/>
                <w:szCs w:val="21"/>
                <w:highlight w:val="none"/>
              </w:rPr>
              <w:t>万元，主要是垃圾处理、环保设施、消防设备、社保劳保用品、安全教育培训等。</w:t>
            </w:r>
          </w:p>
          <w:p>
            <w:pPr>
              <w:spacing w:line="360" w:lineRule="auto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13、员工饮用水为纯净水通过饮水机饮用。</w:t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eastAsiaTheme="minorEastAsia"/>
                <w:color w:val="000000"/>
                <w:szCs w:val="21"/>
              </w:rPr>
              <w:t>14</w:t>
            </w:r>
            <w:r>
              <w:rPr>
                <w:rFonts w:hAnsiTheme="minorEastAsia" w:eastAsiaTheme="minorEastAsia"/>
                <w:color w:val="000000"/>
                <w:szCs w:val="21"/>
              </w:rPr>
              <w:t>、</w:t>
            </w:r>
            <w:r>
              <w:rPr>
                <w:rFonts w:hint="eastAsia" w:hAnsiTheme="minorEastAsia" w:eastAsiaTheme="minorEastAsia"/>
                <w:color w:val="000000"/>
                <w:szCs w:val="21"/>
              </w:rPr>
              <w:t>固体废弃物分类管理，可回收废物交废品收购单位回收；不可回收废弃物，由环卫部门负责处理。</w:t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</w:p>
          <w:p>
            <w:pPr>
              <w:snapToGrid w:val="0"/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生产部已经按照体系的要求进行策划控制，但不够齐全，交流改进。</w:t>
            </w:r>
          </w:p>
          <w:p>
            <w:pPr>
              <w:snapToGrid w:val="0"/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</w:p>
          <w:p>
            <w:pPr>
              <w:snapToGrid w:val="0"/>
              <w:spacing w:beforeLines="20" w:afterLines="20"/>
              <w:ind w:firstLine="422" w:firstLineChars="200"/>
              <w:rPr>
                <w:rFonts w:eastAsiaTheme="minorEastAsia"/>
                <w:b/>
                <w:color w:val="000000"/>
                <w:szCs w:val="21"/>
              </w:rPr>
            </w:pPr>
            <w:r>
              <w:rPr>
                <w:rFonts w:hAnsiTheme="minorEastAsia" w:eastAsiaTheme="minorEastAsia"/>
                <w:b/>
                <w:color w:val="000000"/>
                <w:szCs w:val="21"/>
              </w:rPr>
              <w:t>视频巡视办公区、厂区：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企业位于</w:t>
            </w:r>
            <w:bookmarkStart w:id="0" w:name="生产地址"/>
            <w:r>
              <w:rPr>
                <w:rFonts w:asciiTheme="minorEastAsia" w:hAnsiTheme="minorEastAsia" w:eastAsiaTheme="minorEastAsia"/>
                <w:sz w:val="20"/>
              </w:rPr>
              <w:t>江西省樟树市大桥工业园</w:t>
            </w:r>
            <w:bookmarkEnd w:id="0"/>
            <w:r>
              <w:rPr>
                <w:rFonts w:hint="eastAsia" w:hAnsiTheme="minorEastAsia" w:eastAsiaTheme="minorEastAsia"/>
                <w:color w:val="000000"/>
                <w:szCs w:val="21"/>
              </w:rPr>
              <w:t>，公司四周是其他企业，无重大敏感区，根据体系运行的需要设置了生产区、办公区。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按公司要求人走关灯，办公室内电脑要求人走后电源切断。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办公室内主要是电的使用，电器有漏电保护器，经常对电路、电源进行检查，没有露电现象发生。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现场巡视办公区域灭火器正常，电线、电气插座完整，未见破损，温度适宜空调未开启。</w:t>
            </w:r>
          </w:p>
          <w:p>
            <w:pPr>
              <w:snapToGrid w:val="0"/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查看各办公区域电脑，空调等办公设施齐全，用电规范，无临时线使用。办公区卫生保持较好，管理较好，无废水乱排现象，无浪费水电现象。</w:t>
            </w:r>
          </w:p>
          <w:p>
            <w:pPr>
              <w:snapToGrid w:val="0"/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办公区域、配置了消防器材、粉灭火器，查看指针在绿区，有效。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办公区域均有固废分类垃圾篓，未发现乱存放废纸、废电池、硒鼓等情况。</w:t>
            </w:r>
          </w:p>
          <w:p>
            <w:pPr>
              <w:tabs>
                <w:tab w:val="left" w:pos="6597"/>
              </w:tabs>
              <w:spacing w:beforeLines="20" w:afterLines="20"/>
              <w:ind w:firstLine="420" w:firstLineChars="200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厂区有配电室一个，门口有灭火器，均有效。门口有配电重地标识，未发现安全隐患。</w:t>
            </w:r>
          </w:p>
          <w:p>
            <w:pPr>
              <w:tabs>
                <w:tab w:val="left" w:pos="6597"/>
              </w:tabs>
              <w:spacing w:beforeLines="20" w:afterLines="20"/>
              <w:ind w:firstLine="422" w:firstLineChars="200"/>
              <w:rPr>
                <w:rFonts w:eastAsiaTheme="minorEastAsia"/>
                <w:b/>
                <w:color w:val="000000"/>
                <w:szCs w:val="21"/>
              </w:rPr>
            </w:pPr>
          </w:p>
          <w:p>
            <w:pPr>
              <w:snapToGrid w:val="0"/>
              <w:spacing w:beforeLines="20" w:afterLines="20"/>
              <w:ind w:firstLine="422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/>
                <w:color w:val="000000"/>
                <w:szCs w:val="21"/>
              </w:rPr>
              <w:t>视频巡视生产车间</w:t>
            </w:r>
            <w:r>
              <w:rPr>
                <w:rFonts w:hAnsiTheme="minorEastAsia" w:eastAsiaTheme="minorEastAsia"/>
                <w:bCs/>
                <w:szCs w:val="21"/>
              </w:rPr>
              <w:t>：</w:t>
            </w:r>
          </w:p>
          <w:p>
            <w:pPr>
              <w:snapToGrid w:val="0"/>
              <w:spacing w:beforeLines="20" w:afterLines="20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涉及到的环境因素主要是：噪声排放、粉尘排放、火灾爆炸、固废排放等。</w:t>
            </w:r>
          </w:p>
          <w:p>
            <w:pPr>
              <w:snapToGrid w:val="0"/>
              <w:spacing w:beforeLines="20" w:afterLines="20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查看各工序设备运转正常，人员操作方法合理，并佩带要相应的防护措施等。操作人员佩带有工作衣、手套等安全防护用品。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固体废弃物主要来源于原材料的包装物和生产过程的边角料，回收外售；生产过程产生的不合格废品回收外售，生产垃圾由相关部门处理。设备维修保养过程产生的废油抹布集中存放，以后统一处理。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噪声源主要来源于冲压机、剪板机、折弯机等设备，高噪声设备安装在厂房内部，安装了减震装置，厂内与厂界设置隔离带，在隔离带内种树木、建挡墙等。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生活废水经污水处理设施预处理后进入园区污水处理厂进行处理。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喷涂在密闭的流水线内作业，除尘器运转正常。</w:t>
            </w:r>
          </w:p>
          <w:p>
            <w:pPr>
              <w:spacing w:beforeLines="20" w:afterLines="20"/>
              <w:ind w:firstLine="420" w:firstLineChars="200"/>
              <w:rPr>
                <w:rFonts w:hint="eastAsia" w:hAnsiTheme="minorEastAsia" w:eastAsiaTheme="minorEastAsia"/>
                <w:bCs/>
                <w:szCs w:val="21"/>
                <w:lang w:eastAsia="zh-CN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生物质燃烧炉加装有除尘器，运转正常</w:t>
            </w:r>
            <w:r>
              <w:rPr>
                <w:rFonts w:hint="eastAsia" w:hAnsiTheme="minorEastAsia" w:eastAsiaTheme="minorEastAsia"/>
                <w:bCs/>
                <w:szCs w:val="21"/>
                <w:lang w:eastAsia="zh-CN"/>
              </w:rPr>
              <w:t>。</w:t>
            </w:r>
          </w:p>
          <w:p>
            <w:pPr>
              <w:spacing w:beforeLines="20" w:afterLines="20"/>
              <w:ind w:firstLine="420" w:firstLineChars="200"/>
              <w:rPr>
                <w:rFonts w:hint="default" w:hAnsiTheme="minor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hAnsiTheme="minorEastAsia" w:eastAsiaTheme="minorEastAsia"/>
                <w:bCs/>
                <w:szCs w:val="21"/>
                <w:lang w:val="en-US" w:eastAsia="zh-CN"/>
              </w:rPr>
              <w:t>未能提供环保设施（除尘器）的运行记录，开具了不符合。已经按要求进行了整改，整改有效。</w:t>
            </w:r>
          </w:p>
          <w:p>
            <w:pPr>
              <w:spacing w:beforeLines="20" w:afterLines="20"/>
              <w:ind w:firstLine="420" w:firstLineChars="200"/>
              <w:rPr>
                <w:rFonts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工作现场无杂物，切断的冷轧钢材下脚料堆放在废料区。</w:t>
            </w:r>
          </w:p>
          <w:p>
            <w:pPr>
              <w:spacing w:beforeLines="20" w:afterLines="20"/>
              <w:ind w:firstLine="420" w:firstLineChars="200"/>
              <w:rPr>
                <w:rFonts w:hAnsiTheme="minorEastAsia" w:eastAsiaTheme="minorEastAsia"/>
                <w:bCs/>
                <w:szCs w:val="21"/>
              </w:rPr>
            </w:pPr>
            <w:r>
              <w:rPr>
                <w:rFonts w:hAnsiTheme="minorEastAsia" w:eastAsiaTheme="minorEastAsia"/>
                <w:bCs/>
                <w:szCs w:val="21"/>
              </w:rPr>
              <w:t>现场电线布线合理，电线均处于完好状态，电路开关完好。</w:t>
            </w:r>
          </w:p>
          <w:p>
            <w:pPr>
              <w:adjustRightInd w:val="0"/>
              <w:snapToGrid w:val="0"/>
              <w:spacing w:beforeLines="20" w:afterLines="20"/>
              <w:ind w:right="105" w:rightChars="50" w:firstLine="420" w:firstLineChars="200"/>
              <w:textAlignment w:val="baseline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AnsiTheme="minorEastAsia" w:eastAsiaTheme="minorEastAsia"/>
                <w:color w:val="000000"/>
                <w:szCs w:val="21"/>
              </w:rPr>
              <w:t>部门运行控制能结合生命周期观点和方法，基本符合要求。</w:t>
            </w:r>
          </w:p>
          <w:p>
            <w:pPr>
              <w:adjustRightInd w:val="0"/>
              <w:snapToGrid w:val="0"/>
              <w:spacing w:beforeLines="20" w:afterLines="20"/>
              <w:ind w:right="105" w:rightChars="50" w:firstLine="420" w:firstLineChars="200"/>
              <w:textAlignment w:val="baseline"/>
              <w:rPr>
                <w:rFonts w:hAnsiTheme="minorEastAsia" w:eastAsiaTheme="minorEastAsia"/>
                <w:color w:val="000000"/>
                <w:szCs w:val="21"/>
              </w:rPr>
            </w:pPr>
            <w:r>
              <w:rPr>
                <w:rFonts w:hint="eastAsia" w:hAnsiTheme="minorEastAsia" w:eastAsiaTheme="minorEastAsia"/>
                <w:color w:val="000000"/>
                <w:szCs w:val="21"/>
              </w:rPr>
              <w:t>与二阶段远程审核一致，确认符合要求。</w:t>
            </w:r>
          </w:p>
        </w:tc>
        <w:tc>
          <w:tcPr>
            <w:tcW w:w="1585" w:type="dxa"/>
          </w:tcPr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  <w:p>
            <w:pPr>
              <w:spacing w:beforeLines="20" w:afterLines="20"/>
              <w:rPr>
                <w:rFonts w:hint="eastAsia" w:eastAsiaTheme="minorEastAsia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eastAsiaTheme="minorEastAsia"/>
                <w:szCs w:val="21"/>
              </w:rPr>
            </w:pPr>
            <w:r>
              <w:rPr>
                <w:rFonts w:hAnsiTheme="minorEastAsia" w:eastAsiaTheme="minorEastAsia"/>
                <w:szCs w:val="21"/>
              </w:rPr>
              <w:t>应急准备和响应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E8.2</w:t>
            </w:r>
          </w:p>
        </w:tc>
        <w:tc>
          <w:tcPr>
            <w:tcW w:w="10004" w:type="dxa"/>
            <w:vAlign w:val="center"/>
          </w:tcPr>
          <w:p>
            <w:pPr>
              <w:spacing w:line="288" w:lineRule="auto"/>
              <w:ind w:firstLine="240" w:firstLineChars="100"/>
              <w:rPr>
                <w:rFonts w:hAnsiTheme="minorEastAsia" w:eastAsiaTheme="minorEastAsia"/>
                <w:bCs/>
                <w:sz w:val="24"/>
                <w:szCs w:val="24"/>
              </w:rPr>
            </w:pPr>
            <w:r>
              <w:rPr>
                <w:rFonts w:hAnsiTheme="minorEastAsia" w:eastAsiaTheme="minorEastAsia"/>
                <w:bCs/>
                <w:sz w:val="24"/>
                <w:szCs w:val="24"/>
              </w:rPr>
              <w:t>负责人介绍，公司制定《应急准备和响应控制程序》、《应急救援预案》等，包括：火灾、触电、机械伤害应急预案等</w:t>
            </w:r>
          </w:p>
          <w:p>
            <w:pPr>
              <w:spacing w:line="288" w:lineRule="auto"/>
              <w:ind w:firstLine="240" w:firstLineChars="100"/>
              <w:rPr>
                <w:rFonts w:eastAsiaTheme="minorEastAsia"/>
                <w:bCs/>
                <w:sz w:val="24"/>
                <w:szCs w:val="24"/>
                <w:lang w:val="en-GB"/>
              </w:rPr>
            </w:pPr>
            <w:r>
              <w:rPr>
                <w:rFonts w:hint="eastAsia" w:eastAsiaTheme="minorEastAsia"/>
                <w:bCs/>
                <w:sz w:val="24"/>
                <w:szCs w:val="24"/>
                <w:lang w:val="en-GB"/>
              </w:rPr>
              <w:t>负责人介绍，公司制定《应急准备和响应控制程序》、编制了火灾应急预案、新型冠状病毒感染的肺炎疫情防控机构工作方案等。</w:t>
            </w:r>
          </w:p>
          <w:p>
            <w:pPr>
              <w:spacing w:line="288" w:lineRule="auto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hAnsiTheme="minorEastAsia" w:eastAsiaTheme="minorEastAsia"/>
                <w:bCs/>
                <w:sz w:val="24"/>
                <w:szCs w:val="24"/>
              </w:rPr>
              <w:t>抽查见：《</w:t>
            </w:r>
            <w:r>
              <w:rPr>
                <w:rFonts w:hint="eastAsia" w:hAnsiTheme="minorEastAsia" w:eastAsiaTheme="minorEastAsia"/>
                <w:bCs/>
                <w:sz w:val="24"/>
                <w:szCs w:val="24"/>
              </w:rPr>
              <w:t>火灾应急救援</w:t>
            </w:r>
            <w:r>
              <w:rPr>
                <w:rFonts w:hAnsiTheme="minorEastAsia" w:eastAsiaTheme="minorEastAsia"/>
                <w:bCs/>
                <w:sz w:val="24"/>
                <w:szCs w:val="24"/>
              </w:rPr>
              <w:t>演练记录》</w:t>
            </w:r>
          </w:p>
          <w:p>
            <w:pPr>
              <w:spacing w:line="288" w:lineRule="auto"/>
              <w:ind w:firstLine="480" w:firstLineChars="200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hAnsiTheme="minorEastAsia" w:eastAsiaTheme="minorEastAsia"/>
                <w:bCs/>
                <w:sz w:val="24"/>
                <w:szCs w:val="24"/>
              </w:rPr>
              <w:t>演练时间：</w:t>
            </w:r>
            <w:r>
              <w:rPr>
                <w:rFonts w:eastAsiaTheme="minorEastAsia"/>
                <w:bCs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20</w:t>
            </w:r>
            <w:r>
              <w:rPr>
                <w:rFonts w:hAnsiTheme="minorEastAsia" w:eastAsiaTheme="minorEastAsia"/>
                <w:bCs/>
                <w:sz w:val="24"/>
                <w:szCs w:val="24"/>
              </w:rPr>
              <w:t>年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4</w:t>
            </w:r>
            <w:r>
              <w:rPr>
                <w:rFonts w:hAnsiTheme="minorEastAsia" w:eastAsiaTheme="minorEastAsia"/>
                <w:bCs/>
                <w:sz w:val="24"/>
                <w:szCs w:val="24"/>
              </w:rPr>
              <w:t>月</w:t>
            </w:r>
            <w:r>
              <w:rPr>
                <w:rFonts w:hint="eastAsia" w:eastAsiaTheme="minorEastAsia"/>
                <w:bCs/>
                <w:sz w:val="24"/>
                <w:szCs w:val="24"/>
              </w:rPr>
              <w:t>12</w:t>
            </w:r>
            <w:r>
              <w:rPr>
                <w:rFonts w:hAnsiTheme="minorEastAsia" w:eastAsiaTheme="minorEastAsia"/>
                <w:bCs/>
                <w:sz w:val="24"/>
                <w:szCs w:val="24"/>
              </w:rPr>
              <w:t>日</w:t>
            </w:r>
          </w:p>
          <w:p>
            <w:pPr>
              <w:spacing w:line="288" w:lineRule="auto"/>
              <w:ind w:firstLine="480" w:firstLineChars="200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hAnsiTheme="minorEastAsia" w:eastAsiaTheme="minorEastAsia"/>
                <w:bCs/>
                <w:sz w:val="24"/>
                <w:szCs w:val="24"/>
              </w:rPr>
              <w:t>演练地点：生产车间</w:t>
            </w:r>
          </w:p>
          <w:p>
            <w:pPr>
              <w:spacing w:line="288" w:lineRule="auto"/>
              <w:ind w:firstLine="480" w:firstLineChars="200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hAnsiTheme="minorEastAsia" w:eastAsiaTheme="minorEastAsia"/>
                <w:bCs/>
                <w:sz w:val="24"/>
                <w:szCs w:val="24"/>
              </w:rPr>
              <w:t>演练部门：全体部门</w:t>
            </w:r>
          </w:p>
          <w:p>
            <w:pPr>
              <w:spacing w:line="288" w:lineRule="auto"/>
              <w:ind w:firstLine="480" w:firstLineChars="200"/>
              <w:rPr>
                <w:rFonts w:eastAsiaTheme="minorEastAsia"/>
                <w:bCs/>
                <w:sz w:val="24"/>
                <w:szCs w:val="24"/>
              </w:rPr>
            </w:pPr>
            <w:r>
              <w:rPr>
                <w:rFonts w:hAnsiTheme="minorEastAsia" w:eastAsiaTheme="minorEastAsia"/>
                <w:bCs/>
                <w:sz w:val="24"/>
                <w:szCs w:val="24"/>
              </w:rPr>
              <w:t>演练总指挥：总经理参加人员各部门部长。过程记录详细。</w:t>
            </w:r>
          </w:p>
          <w:p>
            <w:pPr>
              <w:pStyle w:val="13"/>
              <w:spacing w:line="288" w:lineRule="auto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见：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20</w:t>
            </w:r>
            <w:r>
              <w:rPr>
                <w:rFonts w:hAnsiTheme="minorEastAsia" w:eastAsiaTheme="minorEastAsia"/>
                <w:sz w:val="24"/>
                <w:szCs w:val="24"/>
              </w:rPr>
              <w:t>年</w:t>
            </w:r>
            <w:r>
              <w:rPr>
                <w:rFonts w:hint="eastAsia" w:eastAsiaTheme="minorEastAsia"/>
                <w:sz w:val="24"/>
                <w:szCs w:val="24"/>
              </w:rPr>
              <w:t>4</w:t>
            </w:r>
            <w:r>
              <w:rPr>
                <w:rFonts w:hAnsiTheme="minorEastAsia" w:eastAsiaTheme="minorEastAsia"/>
                <w:sz w:val="24"/>
                <w:szCs w:val="24"/>
              </w:rPr>
              <w:t>月</w:t>
            </w:r>
            <w:r>
              <w:rPr>
                <w:rFonts w:eastAsiaTheme="minorEastAsia"/>
                <w:sz w:val="24"/>
                <w:szCs w:val="24"/>
              </w:rPr>
              <w:t>1</w:t>
            </w:r>
            <w:r>
              <w:rPr>
                <w:rFonts w:hint="eastAsia" w:eastAsiaTheme="minorEastAsia"/>
                <w:sz w:val="24"/>
                <w:szCs w:val="24"/>
              </w:rPr>
              <w:t>2</w:t>
            </w:r>
            <w:r>
              <w:rPr>
                <w:rFonts w:hAnsiTheme="minorEastAsia" w:eastAsiaTheme="minorEastAsia"/>
                <w:sz w:val="24"/>
                <w:szCs w:val="24"/>
              </w:rPr>
              <w:t>日组织了火灾应急救援演练记录，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参加人员各岗位人员；记录演练过程、急救措施等内容。评价：组织指挥有序，项目岗位配合较好，达到了预定目标，演练的效果较好。人员的速度较快，及时按照预定方案对事故处理人员进行保护。</w:t>
            </w:r>
            <w:r>
              <w:rPr>
                <w:rFonts w:hAnsiTheme="minorEastAsia" w:eastAsiaTheme="minorEastAsia"/>
                <w:sz w:val="24"/>
                <w:szCs w:val="24"/>
              </w:rPr>
              <w:t>，应急预案有可操作性，应急人员基本掌握该方案，能够应对突发事件。</w:t>
            </w:r>
          </w:p>
          <w:p>
            <w:pPr>
              <w:pStyle w:val="13"/>
              <w:spacing w:line="288" w:lineRule="auto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再查2020年3月2日的《触电应急救援演练记录》和2020年5月17日的《机械伤害事故应急演练记录》，情况同上。</w:t>
            </w:r>
          </w:p>
          <w:p>
            <w:pPr>
              <w:pStyle w:val="13"/>
              <w:spacing w:line="288" w:lineRule="auto"/>
              <w:ind w:firstLine="260" w:firstLineChars="1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针对近期出现的新型冠状病毒引发的肺炎疫情，公司制定了疫情防控预案，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公司有进行返岗人员健康报备管理、每日人员出入登记/量体温/戴口罩、是否发热、办公区域消毒、分餐制用餐时间管理等，</w:t>
            </w:r>
            <w:r>
              <w:rPr>
                <w:rFonts w:hAnsiTheme="minorEastAsia" w:eastAsiaTheme="minorEastAsia"/>
                <w:sz w:val="24"/>
                <w:szCs w:val="24"/>
              </w:rPr>
              <w:t>严格按政府和预案的要求执行。</w:t>
            </w:r>
          </w:p>
          <w:p>
            <w:pPr>
              <w:adjustRightInd w:val="0"/>
              <w:snapToGrid w:val="0"/>
              <w:spacing w:beforeLines="20" w:afterLines="20"/>
              <w:ind w:right="105" w:rightChars="50" w:firstLine="480" w:firstLineChars="200"/>
              <w:textAlignment w:val="baseline"/>
              <w:rPr>
                <w:rFonts w:hAnsiTheme="minorEastAsia" w:eastAsiaTheme="minorEastAsia"/>
                <w:szCs w:val="21"/>
              </w:rPr>
            </w:pPr>
            <w:r>
              <w:rPr>
                <w:rFonts w:hint="eastAsia" w:hAnsiTheme="minorEastAsia" w:eastAsiaTheme="minorEastAsia"/>
                <w:bCs/>
                <w:sz w:val="24"/>
                <w:szCs w:val="24"/>
              </w:rPr>
              <w:t>应急演练后对应急预案进行了评审，应急预案不重要修订。自体系运行以来尚未发生紧急情况。</w:t>
            </w:r>
          </w:p>
          <w:p>
            <w:pPr>
              <w:adjustRightInd w:val="0"/>
              <w:snapToGrid w:val="0"/>
              <w:spacing w:beforeLines="20" w:afterLines="20"/>
              <w:ind w:right="105" w:rightChars="50" w:firstLine="420" w:firstLineChars="200"/>
              <w:textAlignment w:val="baseline"/>
              <w:rPr>
                <w:rFonts w:eastAsiaTheme="minorEastAsia"/>
                <w:szCs w:val="21"/>
              </w:rPr>
            </w:pPr>
            <w:r>
              <w:rPr>
                <w:rFonts w:hint="eastAsia" w:eastAsiaTheme="minorEastAsia"/>
                <w:szCs w:val="21"/>
              </w:rPr>
              <w:t>与二阶段远程审核一致，确认符合要求。</w:t>
            </w:r>
          </w:p>
        </w:tc>
        <w:tc>
          <w:tcPr>
            <w:tcW w:w="1585" w:type="dxa"/>
          </w:tcPr>
          <w:p>
            <w:pPr>
              <w:spacing w:beforeLines="20" w:afterLines="20"/>
              <w:rPr>
                <w:rFonts w:eastAsiaTheme="minorEastAsia"/>
                <w:szCs w:val="21"/>
              </w:rPr>
            </w:pPr>
          </w:p>
        </w:tc>
      </w:tr>
    </w:tbl>
    <w:p>
      <w:r>
        <w:ptab w:relativeTo="margin" w:alignment="center" w:leader="none"/>
      </w:r>
    </w:p>
    <w:p/>
    <w:p/>
    <w:p>
      <w:pPr>
        <w:pStyle w:val="5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6"/>
      <w:pBdr>
        <w:bottom w:val="none" w:color="auto" w:sz="0" w:space="0"/>
      </w:pBdr>
      <w:spacing w:line="320" w:lineRule="exact"/>
      <w:jc w:val="left"/>
    </w:pPr>
    <w:r>
      <w:pict>
        <v:shape id="_x0000_s1025" o:spid="_x0000_s1025" o:spt="202" type="#_x0000_t202" style="position:absolute;left:0pt;margin-left:554.75pt;margin-top:2.2pt;height:20.2pt;width:172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ISC-B-II-1</w:t>
                </w:r>
                <w:r>
                  <w:rPr>
                    <w:sz w:val="18"/>
                    <w:szCs w:val="18"/>
                  </w:rPr>
                  <w:t>2</w:t>
                </w:r>
                <w:r>
                  <w:rPr>
                    <w:rFonts w:hint="eastAsia"/>
                    <w:sz w:val="18"/>
                    <w:szCs w:val="18"/>
                  </w:rPr>
                  <w:t xml:space="preserve"> 管理体系审核记录表(03版)</w:t>
                </w:r>
              </w:p>
            </w:txbxContent>
          </v:textbox>
        </v:shape>
      </w:pict>
    </w:r>
    <w:r>
      <w:rPr>
        <w:rStyle w:val="12"/>
        <w:rFonts w:hint="default"/>
      </w:rPr>
      <w:t xml:space="preserve">        </w:t>
    </w:r>
    <w:r>
      <w:rPr>
        <w:rStyle w:val="12"/>
        <w:rFonts w:hint="default"/>
        <w:w w:val="90"/>
      </w:rPr>
      <w:t>Beijing International Standard united Certification Co.,Ltd.</w:t>
    </w:r>
    <w:r>
      <w:rPr>
        <w:rStyle w:val="12"/>
        <w:rFonts w:hint="default"/>
        <w:w w:val="90"/>
        <w:szCs w:val="21"/>
      </w:rPr>
      <w:t xml:space="preserve">  </w:t>
    </w:r>
    <w:r>
      <w:rPr>
        <w:rStyle w:val="12"/>
        <w:rFonts w:hint="default"/>
        <w:w w:val="90"/>
        <w:sz w:val="20"/>
      </w:rPr>
      <w:t xml:space="preserve"> </w:t>
    </w:r>
    <w:r>
      <w:rPr>
        <w:rStyle w:val="12"/>
        <w:rFonts w:hint="default"/>
        <w:w w:val="90"/>
      </w:rPr>
      <w:t xml:space="preserve">                   </w:t>
    </w: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5DB3"/>
    <w:rsid w:val="0004055E"/>
    <w:rsid w:val="00052CE3"/>
    <w:rsid w:val="000535B6"/>
    <w:rsid w:val="000873F3"/>
    <w:rsid w:val="0009787B"/>
    <w:rsid w:val="000E4CC9"/>
    <w:rsid w:val="00162F8D"/>
    <w:rsid w:val="001B5107"/>
    <w:rsid w:val="00230D62"/>
    <w:rsid w:val="00245CE9"/>
    <w:rsid w:val="002F566A"/>
    <w:rsid w:val="00340185"/>
    <w:rsid w:val="003E65B1"/>
    <w:rsid w:val="004240B3"/>
    <w:rsid w:val="004821BA"/>
    <w:rsid w:val="004B31D9"/>
    <w:rsid w:val="004C300D"/>
    <w:rsid w:val="004D0C35"/>
    <w:rsid w:val="004D3A2D"/>
    <w:rsid w:val="00523929"/>
    <w:rsid w:val="00547D12"/>
    <w:rsid w:val="00644DFA"/>
    <w:rsid w:val="00645FBB"/>
    <w:rsid w:val="00650017"/>
    <w:rsid w:val="006A41F8"/>
    <w:rsid w:val="006B459C"/>
    <w:rsid w:val="006E33A7"/>
    <w:rsid w:val="006F5881"/>
    <w:rsid w:val="007A6B02"/>
    <w:rsid w:val="007F45CD"/>
    <w:rsid w:val="0083378C"/>
    <w:rsid w:val="008D1521"/>
    <w:rsid w:val="008F69D3"/>
    <w:rsid w:val="00902168"/>
    <w:rsid w:val="009069A4"/>
    <w:rsid w:val="0097491B"/>
    <w:rsid w:val="009D467E"/>
    <w:rsid w:val="00A8457F"/>
    <w:rsid w:val="00B2626C"/>
    <w:rsid w:val="00B4248D"/>
    <w:rsid w:val="00B4597F"/>
    <w:rsid w:val="00B5693A"/>
    <w:rsid w:val="00B77A2B"/>
    <w:rsid w:val="00BB0EF5"/>
    <w:rsid w:val="00BB5942"/>
    <w:rsid w:val="00BD25F3"/>
    <w:rsid w:val="00BD6197"/>
    <w:rsid w:val="00C02FAA"/>
    <w:rsid w:val="00C71A57"/>
    <w:rsid w:val="00C954B7"/>
    <w:rsid w:val="00CA4F93"/>
    <w:rsid w:val="00CD1DD6"/>
    <w:rsid w:val="00D11103"/>
    <w:rsid w:val="00D343F5"/>
    <w:rsid w:val="00D60A1C"/>
    <w:rsid w:val="00D70ADB"/>
    <w:rsid w:val="00DB1466"/>
    <w:rsid w:val="00DB42E7"/>
    <w:rsid w:val="00DE26D8"/>
    <w:rsid w:val="00DE5DB3"/>
    <w:rsid w:val="00E85799"/>
    <w:rsid w:val="00E927C7"/>
    <w:rsid w:val="00EA0016"/>
    <w:rsid w:val="00EA4CB8"/>
    <w:rsid w:val="00EB067C"/>
    <w:rsid w:val="00EF551A"/>
    <w:rsid w:val="00F52845"/>
    <w:rsid w:val="00F53222"/>
    <w:rsid w:val="0B56241C"/>
    <w:rsid w:val="19600886"/>
    <w:rsid w:val="3A4576A0"/>
    <w:rsid w:val="4D006905"/>
    <w:rsid w:val="5D387B9C"/>
    <w:rsid w:val="67BF4CDB"/>
    <w:rsid w:val="70C640E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9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15"/>
    <w:uiPriority w:val="0"/>
    <w:pPr>
      <w:ind w:firstLine="525" w:firstLineChars="210"/>
    </w:pPr>
    <w:rPr>
      <w:spacing w:val="20"/>
      <w:szCs w:val="24"/>
    </w:r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5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3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character" w:customStyle="1" w:styleId="14">
    <w:name w:val="标题 2 Char"/>
    <w:basedOn w:val="8"/>
    <w:link w:val="2"/>
    <w:qFormat/>
    <w:uiPriority w:val="99"/>
    <w:rPr>
      <w:rFonts w:ascii="Times New Roman" w:hAnsi="Times New Roman" w:eastAsia="宋体" w:cs="Times New Roman"/>
      <w:b/>
      <w:bCs/>
      <w:kern w:val="2"/>
      <w:sz w:val="32"/>
    </w:rPr>
  </w:style>
  <w:style w:type="character" w:customStyle="1" w:styleId="15">
    <w:name w:val="正文文本缩进 Char"/>
    <w:basedOn w:val="8"/>
    <w:link w:val="3"/>
    <w:qFormat/>
    <w:uiPriority w:val="0"/>
    <w:rPr>
      <w:rFonts w:ascii="Times New Roman" w:hAnsi="Times New Roman" w:eastAsia="宋体" w:cs="Times New Roman"/>
      <w:spacing w:val="20"/>
      <w:kern w:val="2"/>
      <w:sz w:val="21"/>
      <w:szCs w:val="24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820</Words>
  <Characters>4675</Characters>
  <Lines>38</Lines>
  <Paragraphs>10</Paragraphs>
  <TotalTime>4</TotalTime>
  <ScaleCrop>false</ScaleCrop>
  <LinksUpToDate>false</LinksUpToDate>
  <CharactersWithSpaces>5485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伍光华</cp:lastModifiedBy>
  <dcterms:modified xsi:type="dcterms:W3CDTF">2020-07-06T14:58:18Z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