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5760" w:firstLineChars="1600"/>
        <w:jc w:val="both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管理体系审核记录表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0606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606" w:type="dxa"/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部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主管领导：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魏东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陪同人员：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陈松林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审核员：伍光华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审核时间：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2020.7.6</w:t>
            </w:r>
          </w:p>
        </w:tc>
        <w:tc>
          <w:tcPr>
            <w:tcW w:w="1585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  <w:r>
              <w:rPr>
                <w:rFonts w:hint="eastAsia" w:ascii="楷体" w:hAnsi="楷体" w:eastAsia="楷体" w:cs="楷体"/>
                <w:szCs w:val="24"/>
                <w:lang w:val="en-US" w:eastAsia="zh-CN"/>
              </w:rPr>
              <w:t>E：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</w:t>
            </w:r>
          </w:p>
        </w:tc>
        <w:tc>
          <w:tcPr>
            <w:tcW w:w="1585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ascii="楷体" w:hAnsi="楷体" w:eastAsia="楷体" w:cs="Arial"/>
                <w:sz w:val="24"/>
                <w:szCs w:val="24"/>
              </w:rPr>
              <w:t>E 5.3</w:t>
            </w:r>
          </w:p>
        </w:tc>
        <w:tc>
          <w:tcPr>
            <w:tcW w:w="10606" w:type="dxa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审核了解到部门主要负责：</w:t>
            </w:r>
            <w:r>
              <w:rPr>
                <w:rFonts w:hint="eastAsia" w:ascii="楷体" w:hAnsi="楷体" w:eastAsia="楷体" w:cs="楷体"/>
                <w:sz w:val="24"/>
              </w:rPr>
              <w:t>A.负责文件\记录\人力资源管理;</w:t>
            </w: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B.负责质量/环境/职业健康安全体系过程的监视和测量，绩效测量和监视；</w:t>
            </w: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C.负责组织本公司环境因素的识别、评价及初始环境评审；负责内部沟通,法律法规收集及合规性评价;</w:t>
            </w: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D.负责质量/环境/职业健康安全管理体系不合格品的控制及纠正、预防措施，不符合、纠正措施和预防措施，事故、事件、不符合、纠正与预防措施的控制；</w:t>
            </w: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E.负责数据分析；</w:t>
            </w: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F.负责组织内部审核。</w:t>
            </w:r>
          </w:p>
          <w:p>
            <w:pPr>
              <w:snapToGrid w:val="0"/>
              <w:spacing w:line="410" w:lineRule="exact"/>
              <w:ind w:firstLine="480" w:firstLineChars="200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  <w:p>
            <w:pPr>
              <w:spacing w:before="215" w:beforeLines="69"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与二阶段远程审核一致，确认符合要求。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目标和方案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ascii="楷体" w:hAnsi="楷体" w:eastAsia="楷体" w:cs="宋体"/>
                <w:sz w:val="24"/>
                <w:szCs w:val="24"/>
              </w:rPr>
              <w:t>E6.2</w:t>
            </w:r>
          </w:p>
        </w:tc>
        <w:tc>
          <w:tcPr>
            <w:tcW w:w="10606" w:type="dxa"/>
            <w:vAlign w:val="center"/>
          </w:tcPr>
          <w:p>
            <w:pPr>
              <w:autoSpaceDE w:val="0"/>
              <w:autoSpaceDN w:val="0"/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查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行政管理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部目标：</w:t>
            </w:r>
          </w:p>
          <w:p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  <w:b/>
                <w:bCs/>
                <w:sz w:val="36"/>
              </w:rPr>
              <w:t xml:space="preserve"> </w:t>
            </w:r>
            <w:r>
              <w:pict>
                <v:shape id="_x0000_i1025" o:spt="75" type="#_x0000_t75" style="height:93.55pt;width:519.1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autoSpaceDE w:val="0"/>
              <w:autoSpaceDN w:val="0"/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经2020年4 月1日考核，已经完成。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抽环境安全管理方案，明确了措施、责任人、时间、资金投入要求：</w:t>
            </w:r>
          </w:p>
          <w:p>
            <w:pPr>
              <w:spacing w:line="360" w:lineRule="auto"/>
            </w:pPr>
            <w:r>
              <w:pict>
                <v:shape id="_x0000_i1026" o:spt="75" type="#_x0000_t75" style="height:191.1pt;width:519.25pt;" filled="f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360" w:lineRule="auto"/>
            </w:pPr>
            <w:r>
              <w:pict>
                <v:shape id="_x0000_i1027" o:spt="75" type="#_x0000_t75" style="height:114.45pt;width:519.2pt;" filled="f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pict>
                <v:shape id="_x0000_i1028" o:spt="75" type="#_x0000_t75" style="height:152.15pt;width:519.25pt;" filled="f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管理方案由责任部门组织实施，目前在实施中，部分已完成。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与二阶段远程审核一致，确认符合要求。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人力资源、能力、意识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ascii="楷体" w:hAnsi="楷体" w:eastAsia="楷体" w:cs="Arial"/>
                <w:sz w:val="24"/>
                <w:szCs w:val="24"/>
              </w:rPr>
              <w:t>E7.2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、</w:t>
            </w:r>
            <w:r>
              <w:rPr>
                <w:rFonts w:ascii="楷体" w:hAnsi="楷体" w:eastAsia="楷体" w:cs="Arial"/>
                <w:sz w:val="24"/>
                <w:szCs w:val="24"/>
              </w:rPr>
              <w:t>7.3</w:t>
            </w:r>
          </w:p>
        </w:tc>
        <w:tc>
          <w:tcPr>
            <w:tcW w:w="10606" w:type="dxa"/>
          </w:tcPr>
          <w:p>
            <w:pPr>
              <w:spacing w:line="360" w:lineRule="auto"/>
              <w:ind w:firstLine="42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编制执行《人力资源控制程序》，规定了人力资源配备、培训计划与实施，考核与认可等予以规定。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企业配置了适宜的人员：如管理人员、技术人员、销售人员等；人员配置基本满足日常管理体系运行要求。</w:t>
            </w:r>
          </w:p>
          <w:p>
            <w:pPr>
              <w:spacing w:line="360" w:lineRule="auto"/>
              <w:ind w:firstLine="42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部对各岗位人员进行能力考核，根据结果采取措施，通常是采取培训方式。</w:t>
            </w:r>
          </w:p>
          <w:p>
            <w:pPr>
              <w:spacing w:line="360" w:lineRule="auto"/>
              <w:ind w:firstLine="42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查到“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度人员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培训计划”，编制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行政部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，批准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张良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，日期</w:t>
            </w:r>
            <w:r>
              <w:rPr>
                <w:rFonts w:ascii="楷体" w:hAnsi="楷体" w:eastAsia="楷体"/>
                <w:sz w:val="24"/>
                <w:szCs w:val="24"/>
              </w:rPr>
              <w:t>201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9.12.10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日。培训内容涉及：标准、体系文件、内审员、岗位技能、作业指导书、相关法规、安全生产、产品知识培训等。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查到：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、《培训记录及培训效果评价表》，</w:t>
            </w:r>
            <w:r>
              <w:rPr>
                <w:rFonts w:ascii="楷体" w:hAnsi="楷体" w:eastAsia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20.1.6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日体系文件（制度汇编、作业指导书）培训，记录了培训内容摘要，通过现场提问答辩对培训效果予以考核评价，考核合格率</w:t>
            </w:r>
            <w:r>
              <w:rPr>
                <w:rFonts w:ascii="楷体" w:hAnsi="楷体" w:eastAsia="楷体"/>
                <w:sz w:val="24"/>
                <w:szCs w:val="24"/>
              </w:rPr>
              <w:t>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</w:t>
            </w:r>
            <w:r>
              <w:rPr>
                <w:rFonts w:ascii="楷体" w:hAnsi="楷体" w:eastAsia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20.1.7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日环境安全法律法规培训，培训方式授课，有培训内容摘要，经现场讨论考核合格率</w:t>
            </w:r>
            <w:r>
              <w:rPr>
                <w:rFonts w:ascii="楷体" w:hAnsi="楷体" w:eastAsia="楷体"/>
                <w:sz w:val="24"/>
                <w:szCs w:val="24"/>
              </w:rPr>
              <w:t>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</w:t>
            </w:r>
            <w:r>
              <w:rPr>
                <w:rFonts w:ascii="楷体" w:hAnsi="楷体" w:eastAsia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20.2.28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日岗位技能培训，培训方式授课，有培训内容摘要，经现场讨论考核合格率</w:t>
            </w:r>
            <w:r>
              <w:rPr>
                <w:rFonts w:ascii="楷体" w:hAnsi="楷体" w:eastAsia="楷体"/>
                <w:sz w:val="24"/>
                <w:szCs w:val="24"/>
              </w:rPr>
              <w:t>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</w:t>
            </w:r>
            <w:r>
              <w:rPr>
                <w:rFonts w:ascii="楷体" w:hAnsi="楷体" w:eastAsia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20.3.6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日基础知识、体系标准、应知内容，培训方式授课，有培训内容摘要，经现场讨论考核合格率</w:t>
            </w:r>
            <w:r>
              <w:rPr>
                <w:rFonts w:ascii="楷体" w:hAnsi="楷体" w:eastAsia="楷体"/>
                <w:sz w:val="24"/>
                <w:szCs w:val="24"/>
              </w:rPr>
              <w:t>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参加培训人员：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张良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魏东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、黄刚强、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梁霞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杨润苟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黄东根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、万承芳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等</w:t>
            </w:r>
          </w:p>
          <w:p>
            <w:pPr>
              <w:spacing w:line="360" w:lineRule="auto"/>
              <w:ind w:firstLine="42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的后果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企业已对人力资源的管理、控制进行了策划，并已实施控制，针对体系知识的系统深入学习进行了现场交流。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与二阶段远程审核一致，确认符合要求。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形成文件的信息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ascii="楷体" w:hAnsi="楷体" w:eastAsia="楷体" w:cs="Arial"/>
                <w:sz w:val="24"/>
                <w:szCs w:val="24"/>
              </w:rPr>
              <w:t>E7.5</w:t>
            </w:r>
          </w:p>
        </w:tc>
        <w:tc>
          <w:tcPr>
            <w:tcW w:w="10606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编制了《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文件控制程序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》，规定了对文件的编制、审批、更新、更改、现行修订状态、文件的发放、保存、使用、借阅、复制以及外来文件的管理、记录的形成和收集、传递和归档、储存和处理、分类和编码、借阅等进行了规定，内容满足并覆盖标准所要求的内容，符合要求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组织策划的体系文件主要包括：《管理手册》，版本：</w:t>
            </w:r>
            <w:r>
              <w:rPr>
                <w:rFonts w:ascii="楷体" w:hAnsi="楷体" w:eastAsia="楷体" w:cs="宋体"/>
                <w:sz w:val="24"/>
                <w:szCs w:val="24"/>
              </w:rPr>
              <w:t>A/0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；《环境、职业健康安全管理体系程序文件》版本：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D</w:t>
            </w:r>
            <w:r>
              <w:rPr>
                <w:rFonts w:ascii="楷体" w:hAnsi="楷体" w:eastAsia="楷体" w:cs="宋体"/>
                <w:sz w:val="24"/>
                <w:szCs w:val="24"/>
              </w:rPr>
              <w:t>/0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，以及相关运行记录等。以上文件编制人：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行政部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，审核人：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陈松林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，批准人：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张良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，发布实施日期</w:t>
            </w:r>
            <w:r>
              <w:rPr>
                <w:rFonts w:ascii="楷体" w:hAnsi="楷体" w:eastAsia="楷体" w:cs="宋体"/>
                <w:sz w:val="24"/>
                <w:szCs w:val="24"/>
              </w:rPr>
              <w:t>2019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日。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公司环境、职业健康安全方针随手册一同发布，并编制目标、指标与管理方案一览表，方针目标发布经过总经理批准、评审，适宜。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公司体系文件运行良好，能够满足经营需要。公司文件经过验证手册和程序文件基本符合</w:t>
            </w:r>
            <w:r>
              <w:rPr>
                <w:rFonts w:ascii="楷体" w:hAnsi="楷体" w:eastAsia="楷体" w:cs="宋体"/>
                <w:sz w:val="24"/>
                <w:szCs w:val="24"/>
              </w:rPr>
              <w:t>ISO14001:2015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标准要求。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查见《外来、受控清单》，登录有手册、程序、管理规定、生产现场管理制度、组装作业指导书等受控文件，包含了体系要求的成文信息，文件规定基本符合组织实际，满足标准要求。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抽查：《应急准备和响应程序》、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《合规性评价程序》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、《纠正措施和预防措施控制程序》等体系文件，均有编制、审批人员签名，符合要求。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查文件发放情况：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提供了《文件发放</w:t>
            </w:r>
            <w:r>
              <w:rPr>
                <w:rFonts w:ascii="楷体" w:hAnsi="楷体" w:eastAsia="楷体" w:cs="宋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回收记录》，所有文件均由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部发放，录有管理手册、程序及标准、法律法规等外来文件。显示文件发放均有文件名称、编号、分发号、版本，发放</w:t>
            </w:r>
            <w:r>
              <w:rPr>
                <w:rFonts w:ascii="楷体" w:hAnsi="楷体" w:eastAsia="楷体" w:cs="宋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回收日期等。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查外来文件管理：</w:t>
            </w:r>
          </w:p>
          <w:p>
            <w:pPr>
              <w:pStyle w:val="17"/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公司对外来文件及法律法规进行了收集、识别、分发、控制。外来文件采用了统一保管、借阅使用的方法进行控制。由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综合管理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部负责通过到主管部门、网上收集、标准发布部门进行购买，并对外来文件的识别、跟踪、控制。查到：《法律法规清单》，有：《中华人民共和国环境保护法》、《中华人民共和国安全生产法》、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产品标准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等法律法规和执行标准，外来文件管理符合要求。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查作废文件控制：自新版体系文件运行以来文件未修改修订。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现场查看组织办公室文件管理情况，通过纸张、电子版形式文件化，文件名称、编号、内容等字迹清晰，标识易于识别、检索、可追溯，纸质文件存放在文件柜中，防水防潮，储存环境适宜。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查到了“记录清单”，记录设置符合公司实施运行要求，基本包含了体系要求的相关记录；《记录清单》，内容清晰，规定了记录的名称、编号、保存期限等信息。</w:t>
            </w:r>
            <w:r>
              <w:rPr>
                <w:rFonts w:ascii="楷体" w:hAnsi="楷体" w:eastAsia="楷体" w:cs="宋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记录以名称、编号进行唯一性标识。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现场查阅了记录：《采购计划》、《应急预案演练记录》、《内审报告》、《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安全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内务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检查记录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》等体系运行记录，记录比较完整，内容规范全面，字迹清楚，有填表人、检查人等信息，易于检索，符合要求。</w:t>
            </w: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　</w:t>
            </w:r>
            <w:r>
              <w:rPr>
                <w:rFonts w:ascii="楷体" w:hAnsi="楷体" w:eastAsia="楷体" w:cs="宋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现场察看记录存放处：各类记录分类存放，部门用记录由相关部门保管，置于文件夹或档案盒（袋）内，统一放置于文件资料柜中，干燥、通风、容易查询，记录保存方式和地点基本可以满足企业现有的体系运行需求。</w:t>
            </w: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　　经了解，目前作废文件已销毁，由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行政部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统一处理。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总体来说，公司文件化信息控制基本有效。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与二阶段远程审核一致，确认符合要求。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环境因素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Cs/>
                <w:sz w:val="24"/>
                <w:szCs w:val="24"/>
              </w:rPr>
              <w:t>E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：</w:t>
            </w:r>
            <w:r>
              <w:rPr>
                <w:rFonts w:ascii="楷体" w:hAnsi="楷体" w:eastAsia="楷体" w:cs="Arial"/>
                <w:sz w:val="24"/>
                <w:szCs w:val="24"/>
              </w:rPr>
              <w:t>6.1.2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606" w:type="dxa"/>
          </w:tcPr>
          <w:p>
            <w:pPr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环境因素和危险源识别评价与控制程序，对环境因素、危险源的识别、评价结果、控制手段等做出了规定。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行政部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作为环境和职业健康安全管理体系的推进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部门，主要统筹负责识别评价相关的环境因素及危险源。根据各部门识别及各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生产、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办公、采购、销售过程环节识别，由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部汇总。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“环境因素登记及评价表”，识别考虑了正常、异常、紧急，过去、现在、未来三种时态，能考虑到产品生命周期观点。涉及办公室的环境因素有办公活动中生活垃圾排放、纸张等办公废品排放、废水排放、空调排放热气、汽车尾气排放、火灾事故发生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采取多因子评价法进行了评价，查到“重要环境因素清单”，评价出固体废弃物排放、火灾事故的发生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项重要环境因素。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经评价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行政部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的重要环境因素为：日常办公过程中固体废弃物排放、火灾事故的发生。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主要控制措施：生活垃圾分类存放、办公危废交耗材供应公司，垃圾由环卫部门拉走，加强日常培训，日常检查，配备消防器材等措施。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具体控制措施见</w:t>
            </w:r>
            <w:r>
              <w:rPr>
                <w:rFonts w:ascii="楷体" w:hAnsi="楷体" w:eastAsia="楷体" w:cs="楷体"/>
                <w:sz w:val="24"/>
                <w:szCs w:val="24"/>
              </w:rPr>
              <w:t>E8.1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审核记录。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与二阶段远程审核一致，确认符合要求。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措施的策划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E6.1.4</w:t>
            </w:r>
          </w:p>
        </w:tc>
        <w:tc>
          <w:tcPr>
            <w:tcW w:w="1060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司根据环境因素和危险源的风险辨识结果，分别制定出《重要环境因素清单》、《重大危险源清单》，清单内明确了控制措施计划，通过具体的措施进行有效控制：目标、管理方案、管理制度运行控制、应急预案、日常检查、日常培训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每年对公司适用的合规义务进行识别更新并定期评价、检查。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与二阶段远程审核一致，确认符合要求。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运行策划和控制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Cs/>
                <w:sz w:val="24"/>
                <w:szCs w:val="24"/>
              </w:rPr>
              <w:t>E</w:t>
            </w:r>
            <w:r>
              <w:rPr>
                <w:rFonts w:ascii="楷体" w:hAnsi="楷体" w:eastAsia="楷体" w:cs="Arial"/>
                <w:sz w:val="24"/>
                <w:szCs w:val="24"/>
              </w:rPr>
              <w:t>8.1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公司制定并实施了运行控制程序、废弃物控制程序、消防控制程序、资源能源控制程序、应急准备和响应控制程序、固废垃圾处理</w:t>
            </w:r>
            <w:r>
              <w:rPr>
                <w:rFonts w:ascii="楷体" w:hAnsi="楷体" w:eastAsia="楷体" w:cs="楷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利用作业指导书、员工职业健康及劳动保护管理规定、应急预案等环境与职业健康安全控制程序和管理制度。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企业位</w:t>
            </w:r>
            <w:r>
              <w:rPr>
                <w:rFonts w:hint="eastAsia" w:ascii="宋体" w:hAnsi="宋体"/>
                <w:spacing w:val="20"/>
                <w:sz w:val="24"/>
                <w:lang w:val="de-DE"/>
              </w:rPr>
              <w:t>位</w:t>
            </w:r>
            <w:r>
              <w:rPr>
                <w:rFonts w:hint="eastAsia" w:ascii="楷体" w:hAnsi="楷体" w:eastAsia="楷体"/>
                <w:spacing w:val="20"/>
                <w:sz w:val="24"/>
                <w:lang w:val="de-DE"/>
              </w:rPr>
              <w:t>于</w:t>
            </w:r>
            <w:bookmarkStart w:id="0" w:name="生产地址"/>
            <w:r>
              <w:rPr>
                <w:rFonts w:hint="eastAsia" w:ascii="楷体" w:hAnsi="楷体" w:eastAsia="楷体" w:cs="楷体"/>
                <w:sz w:val="24"/>
                <w:szCs w:val="24"/>
              </w:rPr>
              <w:t>江西省樟树市大桥工业园</w:t>
            </w:r>
            <w:bookmarkEnd w:id="0"/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  <w:lang w:val="de-DE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公司四周是其他企业或居民，无重大敏感区，根据体系运行的需要设置了办公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室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部定期组织环保和安全知识培训，员工具备了基本的环保意识，见</w:t>
            </w:r>
            <w:r>
              <w:rPr>
                <w:rFonts w:ascii="楷体" w:hAnsi="楷体" w:eastAsia="楷体" w:cs="楷体"/>
                <w:sz w:val="24"/>
                <w:szCs w:val="24"/>
              </w:rPr>
              <w:t>7.3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条款审核记录。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按公司要求人走关灯，办公室电脑要求人走后电源切断。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办公内主要是电的使用，电器有漏电保护器，经常对电路、电源进行检查，没有露电现象发生。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办公室垃圾主要包含可回收垃圾、硒鼓、废纸。公司配置了垃圾箱，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行政部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统一处理。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综合部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统一处理，各部门不得单独处理。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为满足环境和职业健康安全体系的运行，公司投入了环保及安全资金，主要是购买消防设施、环保设施、劳保用品、社保等，运行至今支出约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万元。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办公纸张尽量采取双面打印，人走灯灭，定期检查水管跑冒滴漏。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现场巡视办公区域配备了消防栓和灭火器，状况正常。</w:t>
            </w:r>
          </w:p>
          <w:p>
            <w:pPr>
              <w:spacing w:line="360" w:lineRule="auto"/>
              <w:ind w:firstLine="42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pict>
                <v:shape id="_x0000_i1029" o:spt="75" type="#_x0000_t75" style="height:319pt;width:277pt;" filled="f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部门运行控制基本符合要求。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与二阶段远程审核一致，确认符合要求。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2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应急准备和响应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bCs/>
                <w:sz w:val="24"/>
                <w:szCs w:val="24"/>
              </w:rPr>
              <w:t>E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：</w:t>
            </w:r>
            <w:r>
              <w:rPr>
                <w:rFonts w:ascii="楷体" w:hAnsi="楷体" w:eastAsia="楷体" w:cs="Arial"/>
                <w:sz w:val="24"/>
                <w:szCs w:val="24"/>
              </w:rPr>
              <w:t>8.2</w:t>
            </w:r>
            <w:r>
              <w:rPr>
                <w:rFonts w:ascii="楷体" w:hAnsi="楷体" w:eastAsia="楷体" w:cs="楷体"/>
                <w:bCs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0606" w:type="dxa"/>
          </w:tcPr>
          <w:p>
            <w:pPr>
              <w:spacing w:beforeLines="50" w:afterLines="50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编制了《应急准备和响应控制程序》，确定的紧急情况有：火灾等。提供了火灾应急预案，其中包括目的、适用范围、职责、应急处理细则、演习、必备资料等，相关内容基本充分。</w:t>
            </w:r>
          </w:p>
          <w:p>
            <w:pPr>
              <w:spacing w:beforeLines="50" w:afterLines="50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应急设施配置：办公场所内均配备了灭火器等消防设施，均在有效期内，状态良好。</w:t>
            </w:r>
          </w:p>
          <w:p>
            <w:pPr>
              <w:spacing w:beforeLines="50" w:afterLines="50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2020.4.12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日的《火灾事故应急演练记录》，参加人员各岗位人员；记录演练过程、急救措施等内容。</w:t>
            </w:r>
          </w:p>
          <w:p>
            <w:pPr>
              <w:spacing w:beforeLines="50" w:afterLines="50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现场巡视办公区有灭火器等消防设施，均有效。</w:t>
            </w:r>
          </w:p>
          <w:p>
            <w:pPr>
              <w:pStyle w:val="17"/>
              <w:ind w:firstLine="520" w:firstLineChars="200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演练中不但讲解了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火灾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发生后的处理流程，包括汇报机制，通知医院，疏导交通保证救援通道畅通，实施抢救等，并在演练结束后进行了总结，应急预案有可操作性，应急人员基本掌握该方案，能够应对突发事件。</w:t>
            </w:r>
          </w:p>
          <w:p>
            <w:pPr>
              <w:pStyle w:val="17"/>
              <w:ind w:firstLine="260" w:firstLineChars="100"/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针对近期出现的新型冠状病毒引发的肺炎疫情，公司制定了《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  <w:lang w:val="en-US" w:eastAsia="zh-CN"/>
              </w:rPr>
              <w:t>疫情预案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》，通过视频看到公司已经恢复销售，员工佩带口罩在岗位上操作，进出办公区域测量体温，严格按政府和预案的要求执行。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基本符合。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自体系运行以来尚未发生紧急情况。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与二阶段远程审核一致，确认符合要求。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内部审核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ascii="楷体" w:hAnsi="楷体" w:eastAsia="楷体" w:cs="Arial"/>
                <w:sz w:val="24"/>
                <w:szCs w:val="24"/>
              </w:rPr>
              <w:t>E9.2</w:t>
            </w:r>
          </w:p>
        </w:tc>
        <w:tc>
          <w:tcPr>
            <w:tcW w:w="10606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由组长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陈松林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组织内部审核，查年度审核计划：提供《内部审核计划》，其内容已包括了审核目的、范围、依据。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审核组构成：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组长：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陈松林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组员：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魏东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1.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审核时间</w:t>
            </w:r>
            <w:r>
              <w:rPr>
                <w:rFonts w:ascii="楷体" w:hAnsi="楷体" w:eastAsia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12-13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日，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审核按计划进行，抽查检查表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行政部、采购部、销售部、生产部、质检部、财务部、管理层，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审核记录与计划相一致，内审员经内部培训合格，能力还需加强；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审核计划已考虑到互查的公正性，无审核员审核本部门的工作，计划内容涉及各部门，条款覆盖整个体系。本次内审发现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个一般不符合项，针对不合格，责任部门已分析了原因并采取了纠正措施，按要求进行了整改，最后内审员进行了验证，纠正措施实施有效。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内部审核结论：提供了《内部审核报告》，对现场审核进行了综述，对质量环境安全管理体系进行了符合性的综合评价，最后结论为：公司的质量环境安全管理体系基本符合标准要求，运行有效。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与二阶段远程审核一致，确认符合要求。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不合格和纠正措施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ascii="楷体" w:hAnsi="楷体" w:eastAsia="楷体" w:cs="宋体"/>
                <w:sz w:val="24"/>
                <w:szCs w:val="24"/>
              </w:rPr>
              <w:t>E10.2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</w:p>
        </w:tc>
        <w:tc>
          <w:tcPr>
            <w:tcW w:w="10606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保持实施《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纠正措施和预防措施控制程序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》、《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事故调查处置控制程序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》，对纠正预防措施识别、评审、验证，事故事件报告、调查、处理等作了规定，其内容符合组织实际及标准要求。</w:t>
            </w:r>
            <w:r>
              <w:rPr>
                <w:rFonts w:ascii="楷体" w:hAnsi="楷体" w:eastAsia="楷体" w:cs="宋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对内审中提出不合格项进行了原因分析</w:t>
            </w:r>
            <w:r>
              <w:rPr>
                <w:rFonts w:ascii="楷体" w:hAnsi="楷体" w:eastAsia="楷体" w:cs="宋体"/>
                <w:sz w:val="24"/>
                <w:szCs w:val="24"/>
              </w:rPr>
              <w:t>,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并制定、实施了纠正措施，并由内审员对所采取的纠正措施进行了验证，纠正措施有效，管理评审中发现的薄弱环节，分析了原因，采取了纠正措施（参见管理评审记录）。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体系运行以来公司按照体系的要求，通过运行控制、加强培训，以及开展管理评审活动等方式采取预防措施，防止不符合</w:t>
            </w:r>
            <w:r>
              <w:rPr>
                <w:rFonts w:ascii="楷体" w:hAnsi="楷体" w:eastAsia="楷体" w:cs="宋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不合格的发生，不符合得到了有效控制，人员环保、安全意识有了明显提高，没有发现潜在的不符合，没有发生重大质量事故和投诉处罚，没有发生环境、职业健康安全事件和投诉处罚。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企业纠正和预防措施的管理符合标准规定要求。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与二阶段远程审核一致，确认符合要求。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/>
    <w:p>
      <w:pPr>
        <w:pStyle w:val="5"/>
      </w:pPr>
      <w:r>
        <w:rPr>
          <w:rFonts w:hint="eastAsia"/>
        </w:rPr>
        <w:t>说明：不符合标注</w:t>
      </w:r>
      <w:r>
        <w:t>N</w:t>
      </w:r>
    </w:p>
    <w:p>
      <w:pPr>
        <w:pStyle w:val="5"/>
      </w:pPr>
      <w:bookmarkStart w:id="1" w:name="_GoBack"/>
      <w:bookmarkEnd w:id="1"/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49</w:t>
    </w:r>
    <w:r>
      <w:rPr>
        <w:b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102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4"/>
        <w:rFonts w:hint="eastAsia"/>
      </w:rPr>
      <w:t>北京国标联合认证有限公司</w:t>
    </w:r>
    <w:r>
      <w:rPr>
        <w:rStyle w:val="14"/>
      </w:rPr>
      <w:tab/>
    </w:r>
    <w:r>
      <w:rPr>
        <w:rStyle w:val="14"/>
      </w:rPr>
      <w:tab/>
    </w:r>
    <w:r>
      <w:rPr>
        <w:rStyle w:val="14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554.75pt;margin-top:2.2pt;height:20.2pt;width:172pt;z-index:102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</w:t>
                </w:r>
                <w:r>
                  <w:rPr>
                    <w:sz w:val="18"/>
                    <w:szCs w:val="18"/>
                  </w:rPr>
                  <w:t>B-I-31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14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5DE"/>
    <w:rsid w:val="000219B9"/>
    <w:rsid w:val="0003373A"/>
    <w:rsid w:val="00033C9F"/>
    <w:rsid w:val="000400E2"/>
    <w:rsid w:val="00044058"/>
    <w:rsid w:val="00046679"/>
    <w:rsid w:val="00062369"/>
    <w:rsid w:val="00063A3B"/>
    <w:rsid w:val="00067C6F"/>
    <w:rsid w:val="000748D2"/>
    <w:rsid w:val="000759E0"/>
    <w:rsid w:val="00081926"/>
    <w:rsid w:val="000A39EB"/>
    <w:rsid w:val="000A4F12"/>
    <w:rsid w:val="000B51BD"/>
    <w:rsid w:val="000D2823"/>
    <w:rsid w:val="000F0D61"/>
    <w:rsid w:val="000F0F7E"/>
    <w:rsid w:val="000F2F92"/>
    <w:rsid w:val="00131AC7"/>
    <w:rsid w:val="00133F48"/>
    <w:rsid w:val="00153815"/>
    <w:rsid w:val="00153BAF"/>
    <w:rsid w:val="00170B0D"/>
    <w:rsid w:val="00176E59"/>
    <w:rsid w:val="0017723E"/>
    <w:rsid w:val="00193594"/>
    <w:rsid w:val="0019698C"/>
    <w:rsid w:val="001A0D03"/>
    <w:rsid w:val="001B25DE"/>
    <w:rsid w:val="001C6C63"/>
    <w:rsid w:val="001D45A7"/>
    <w:rsid w:val="001D52D6"/>
    <w:rsid w:val="001E155C"/>
    <w:rsid w:val="001F1012"/>
    <w:rsid w:val="00202985"/>
    <w:rsid w:val="00204C69"/>
    <w:rsid w:val="0021644A"/>
    <w:rsid w:val="00225BAB"/>
    <w:rsid w:val="00243B9F"/>
    <w:rsid w:val="00250D0F"/>
    <w:rsid w:val="00251F7F"/>
    <w:rsid w:val="00273E21"/>
    <w:rsid w:val="002A4508"/>
    <w:rsid w:val="002B33F0"/>
    <w:rsid w:val="002D3565"/>
    <w:rsid w:val="00303300"/>
    <w:rsid w:val="00351198"/>
    <w:rsid w:val="00353935"/>
    <w:rsid w:val="00354550"/>
    <w:rsid w:val="00354BEE"/>
    <w:rsid w:val="00387673"/>
    <w:rsid w:val="00390345"/>
    <w:rsid w:val="003D4EE6"/>
    <w:rsid w:val="003E08A5"/>
    <w:rsid w:val="003F49F0"/>
    <w:rsid w:val="00400E92"/>
    <w:rsid w:val="00416CB1"/>
    <w:rsid w:val="004241EE"/>
    <w:rsid w:val="0043219E"/>
    <w:rsid w:val="00433001"/>
    <w:rsid w:val="00435C09"/>
    <w:rsid w:val="00440E39"/>
    <w:rsid w:val="004473D0"/>
    <w:rsid w:val="004526F0"/>
    <w:rsid w:val="00466E9E"/>
    <w:rsid w:val="004801A0"/>
    <w:rsid w:val="004815EB"/>
    <w:rsid w:val="004B6927"/>
    <w:rsid w:val="004C6812"/>
    <w:rsid w:val="004F443E"/>
    <w:rsid w:val="00512602"/>
    <w:rsid w:val="00530F23"/>
    <w:rsid w:val="00552571"/>
    <w:rsid w:val="005560EC"/>
    <w:rsid w:val="00560DB6"/>
    <w:rsid w:val="00561940"/>
    <w:rsid w:val="00567A42"/>
    <w:rsid w:val="005752A6"/>
    <w:rsid w:val="005A1ED2"/>
    <w:rsid w:val="005A4889"/>
    <w:rsid w:val="005C20AE"/>
    <w:rsid w:val="005E7E15"/>
    <w:rsid w:val="00600C20"/>
    <w:rsid w:val="00610CCF"/>
    <w:rsid w:val="00614C4D"/>
    <w:rsid w:val="00620D5E"/>
    <w:rsid w:val="006310F1"/>
    <w:rsid w:val="006510E0"/>
    <w:rsid w:val="006743FE"/>
    <w:rsid w:val="00697127"/>
    <w:rsid w:val="006F1DC2"/>
    <w:rsid w:val="00701B19"/>
    <w:rsid w:val="00703F6B"/>
    <w:rsid w:val="00712323"/>
    <w:rsid w:val="007438B3"/>
    <w:rsid w:val="0074390F"/>
    <w:rsid w:val="00760FB8"/>
    <w:rsid w:val="007620A1"/>
    <w:rsid w:val="007702BC"/>
    <w:rsid w:val="007757F3"/>
    <w:rsid w:val="00790B70"/>
    <w:rsid w:val="007B7F25"/>
    <w:rsid w:val="007C5E3B"/>
    <w:rsid w:val="007F0444"/>
    <w:rsid w:val="00801158"/>
    <w:rsid w:val="00802116"/>
    <w:rsid w:val="00812FB7"/>
    <w:rsid w:val="00823D21"/>
    <w:rsid w:val="00824A66"/>
    <w:rsid w:val="00827780"/>
    <w:rsid w:val="008467DB"/>
    <w:rsid w:val="00847CA6"/>
    <w:rsid w:val="00863941"/>
    <w:rsid w:val="0087523E"/>
    <w:rsid w:val="008846D0"/>
    <w:rsid w:val="008973EE"/>
    <w:rsid w:val="008A3324"/>
    <w:rsid w:val="008A5298"/>
    <w:rsid w:val="008C1B99"/>
    <w:rsid w:val="008C6391"/>
    <w:rsid w:val="008E6797"/>
    <w:rsid w:val="008F045B"/>
    <w:rsid w:val="00914C10"/>
    <w:rsid w:val="0091775C"/>
    <w:rsid w:val="00951529"/>
    <w:rsid w:val="00953B0B"/>
    <w:rsid w:val="00981F19"/>
    <w:rsid w:val="00984A26"/>
    <w:rsid w:val="00992B54"/>
    <w:rsid w:val="009A06D2"/>
    <w:rsid w:val="009B4611"/>
    <w:rsid w:val="009B6ACD"/>
    <w:rsid w:val="009F416F"/>
    <w:rsid w:val="009F6343"/>
    <w:rsid w:val="00A011D3"/>
    <w:rsid w:val="00A14097"/>
    <w:rsid w:val="00A25BB5"/>
    <w:rsid w:val="00A36D27"/>
    <w:rsid w:val="00A45D9E"/>
    <w:rsid w:val="00A55FDA"/>
    <w:rsid w:val="00A61C46"/>
    <w:rsid w:val="00A6299B"/>
    <w:rsid w:val="00A85752"/>
    <w:rsid w:val="00A91162"/>
    <w:rsid w:val="00AB3B8F"/>
    <w:rsid w:val="00AC43CE"/>
    <w:rsid w:val="00AC43D6"/>
    <w:rsid w:val="00AC685D"/>
    <w:rsid w:val="00AF4316"/>
    <w:rsid w:val="00B02E01"/>
    <w:rsid w:val="00B06544"/>
    <w:rsid w:val="00B13582"/>
    <w:rsid w:val="00B22E5A"/>
    <w:rsid w:val="00B41FC2"/>
    <w:rsid w:val="00B475ED"/>
    <w:rsid w:val="00B77922"/>
    <w:rsid w:val="00B8487A"/>
    <w:rsid w:val="00B933B7"/>
    <w:rsid w:val="00BB5AE7"/>
    <w:rsid w:val="00BC1671"/>
    <w:rsid w:val="00BC2159"/>
    <w:rsid w:val="00BE63F9"/>
    <w:rsid w:val="00BF047C"/>
    <w:rsid w:val="00BF55C1"/>
    <w:rsid w:val="00C0469F"/>
    <w:rsid w:val="00C0589B"/>
    <w:rsid w:val="00C51F68"/>
    <w:rsid w:val="00C53F8C"/>
    <w:rsid w:val="00C55007"/>
    <w:rsid w:val="00C66196"/>
    <w:rsid w:val="00C711BC"/>
    <w:rsid w:val="00C759BA"/>
    <w:rsid w:val="00C85C5F"/>
    <w:rsid w:val="00C9295A"/>
    <w:rsid w:val="00CB2F54"/>
    <w:rsid w:val="00CC03A8"/>
    <w:rsid w:val="00CC523E"/>
    <w:rsid w:val="00CC7965"/>
    <w:rsid w:val="00CF0432"/>
    <w:rsid w:val="00CF7501"/>
    <w:rsid w:val="00D018F8"/>
    <w:rsid w:val="00D05722"/>
    <w:rsid w:val="00D1502A"/>
    <w:rsid w:val="00D23666"/>
    <w:rsid w:val="00D30776"/>
    <w:rsid w:val="00D37631"/>
    <w:rsid w:val="00D57A07"/>
    <w:rsid w:val="00D61AC0"/>
    <w:rsid w:val="00D7291B"/>
    <w:rsid w:val="00D97C9F"/>
    <w:rsid w:val="00DA547C"/>
    <w:rsid w:val="00DD047E"/>
    <w:rsid w:val="00DD35E1"/>
    <w:rsid w:val="00DD5D57"/>
    <w:rsid w:val="00E02963"/>
    <w:rsid w:val="00E057F8"/>
    <w:rsid w:val="00E27414"/>
    <w:rsid w:val="00E34131"/>
    <w:rsid w:val="00E6224C"/>
    <w:rsid w:val="00E67F6B"/>
    <w:rsid w:val="00E7027E"/>
    <w:rsid w:val="00E83DA5"/>
    <w:rsid w:val="00E9127E"/>
    <w:rsid w:val="00E97B40"/>
    <w:rsid w:val="00EA6FEB"/>
    <w:rsid w:val="00EC08C4"/>
    <w:rsid w:val="00EC4201"/>
    <w:rsid w:val="00EE2282"/>
    <w:rsid w:val="00F00235"/>
    <w:rsid w:val="00F74248"/>
    <w:rsid w:val="00F81AA1"/>
    <w:rsid w:val="00F84329"/>
    <w:rsid w:val="00F9511B"/>
    <w:rsid w:val="00F97461"/>
    <w:rsid w:val="00FA70AD"/>
    <w:rsid w:val="00FC0249"/>
    <w:rsid w:val="00FF3A70"/>
    <w:rsid w:val="00FF5E73"/>
    <w:rsid w:val="00FF762E"/>
    <w:rsid w:val="01A4643E"/>
    <w:rsid w:val="02310203"/>
    <w:rsid w:val="061B3FA5"/>
    <w:rsid w:val="06D92D16"/>
    <w:rsid w:val="10513DE6"/>
    <w:rsid w:val="1A567EE1"/>
    <w:rsid w:val="1B8A145E"/>
    <w:rsid w:val="23641043"/>
    <w:rsid w:val="2931136E"/>
    <w:rsid w:val="30755036"/>
    <w:rsid w:val="3EC30777"/>
    <w:rsid w:val="3F7842C8"/>
    <w:rsid w:val="449317F4"/>
    <w:rsid w:val="44FB735A"/>
    <w:rsid w:val="4EA608E7"/>
    <w:rsid w:val="55C04EE5"/>
    <w:rsid w:val="55DB5DDE"/>
    <w:rsid w:val="5A374200"/>
    <w:rsid w:val="60D4207C"/>
    <w:rsid w:val="67050D7F"/>
    <w:rsid w:val="6B64026B"/>
    <w:rsid w:val="75C93055"/>
    <w:rsid w:val="78375207"/>
    <w:rsid w:val="7CD5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8"/>
    <w:qFormat/>
    <w:uiPriority w:val="99"/>
    <w:rPr>
      <w:rFonts w:ascii="宋体" w:hAnsi="Courier New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link w:val="16"/>
    <w:qFormat/>
    <w:uiPriority w:val="99"/>
    <w:pPr>
      <w:spacing w:after="0"/>
      <w:ind w:left="0" w:leftChars="0" w:firstLine="420" w:firstLineChars="200"/>
      <w:jc w:val="left"/>
    </w:pPr>
    <w:rPr>
      <w:rFonts w:ascii="宋体" w:hAnsi="宋体" w:eastAsia="仿宋_GB2312"/>
      <w:color w:val="000000"/>
      <w:sz w:val="28"/>
    </w:rPr>
  </w:style>
  <w:style w:type="character" w:styleId="10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5">
    <w:name w:val="正文文本缩进 Char"/>
    <w:link w:val="2"/>
    <w:semiHidden/>
    <w:qFormat/>
    <w:locked/>
    <w:uiPriority w:val="99"/>
    <w:rPr>
      <w:rFonts w:eastAsia="宋体" w:cs="Times New Roman"/>
      <w:kern w:val="2"/>
      <w:sz w:val="21"/>
      <w:lang w:val="en-US" w:eastAsia="zh-CN" w:bidi="ar-SA"/>
    </w:rPr>
  </w:style>
  <w:style w:type="character" w:customStyle="1" w:styleId="16">
    <w:name w:val="正文首行缩进 2 Char"/>
    <w:link w:val="7"/>
    <w:qFormat/>
    <w:locked/>
    <w:uiPriority w:val="99"/>
    <w:rPr>
      <w:rFonts w:ascii="宋体" w:hAnsi="宋体" w:eastAsia="仿宋_GB2312" w:cs="Times New Roman"/>
      <w:color w:val="000000"/>
      <w:kern w:val="2"/>
      <w:sz w:val="28"/>
      <w:lang w:val="en-US" w:eastAsia="zh-CN" w:bidi="ar-SA"/>
    </w:rPr>
  </w:style>
  <w:style w:type="paragraph" w:customStyle="1" w:styleId="17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character" w:customStyle="1" w:styleId="18">
    <w:name w:val="纯文本 Char"/>
    <w:link w:val="3"/>
    <w:qFormat/>
    <w:locked/>
    <w:uiPriority w:val="99"/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东方正文"/>
    <w:basedOn w:val="1"/>
    <w:qFormat/>
    <w:uiPriority w:val="99"/>
    <w:pPr>
      <w:spacing w:line="400" w:lineRule="exact"/>
      <w:ind w:left="284" w:right="284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4207</Words>
  <Characters>23982</Characters>
  <Lines>199</Lines>
  <Paragraphs>56</Paragraphs>
  <TotalTime>13</TotalTime>
  <ScaleCrop>false</ScaleCrop>
  <LinksUpToDate>false</LinksUpToDate>
  <CharactersWithSpaces>28133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2020-07-06T06:28:02Z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