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21007-2024-Q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四川西衍科技有限公司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尹莎莎</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陈伟</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2023-N1QMS-2265256</w:t>
            </w:r>
          </w:p>
        </w:tc>
        <w:tc>
          <w:tcPr>
            <w:tcW w:w="3145" w:type="dxa"/>
            <w:vAlign w:val="center"/>
          </w:tcPr>
          <w:p w:rsidR="00A824E9">
            <w:pPr>
              <w:spacing w:line="360" w:lineRule="exact"/>
              <w:jc w:val="center"/>
              <w:rPr>
                <w:b/>
                <w:szCs w:val="21"/>
              </w:rPr>
            </w:pPr>
            <w:r>
              <w:rPr>
                <w:b/>
                <w:szCs w:val="21"/>
              </w:rPr>
              <w:t>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尹莎莎</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实习审核员</w:t>
            </w:r>
          </w:p>
        </w:tc>
        <w:tc>
          <w:tcPr>
            <w:tcW w:w="2268" w:type="dxa"/>
            <w:vAlign w:val="center"/>
          </w:tcPr>
          <w:p w:rsidR="00A824E9">
            <w:pPr>
              <w:spacing w:line="360" w:lineRule="exact"/>
              <w:jc w:val="center"/>
              <w:rPr>
                <w:b/>
                <w:szCs w:val="21"/>
              </w:rPr>
            </w:pPr>
            <w:r>
              <w:rPr>
                <w:b/>
                <w:szCs w:val="21"/>
              </w:rPr>
              <w:t>2024-N0QMS-1331971</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2024年12月29日 上午至2024年12月29日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四川省成都市郫都区现代工业港北片区港通北四路399号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四川省成都市郫都区现代工业港北片区港通北四路399号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