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亮风台(云南)人工智能有限公司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w:t>
            </w:r>
          </w:p>
          <w:p>
            <w:pPr>
              <w:spacing w:line="240" w:lineRule="exact"/>
              <w:jc w:val="center"/>
              <w:rPr>
                <w:b/>
                <w:color w:val="000000" w:themeColor="text1"/>
                <w:sz w:val="20"/>
                <w:szCs w:val="20"/>
              </w:rPr>
            </w:pPr>
            <w:r>
              <w:rPr>
                <w:b/>
                <w:color w:val="000000" w:themeColor="text1"/>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亮风台(云南)人工智能有限公司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云南省昆明市高新区昆百大国际派A座33楼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650101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云南省昆明市高新区海源北路昆百大国际派A座33楼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650101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陈宸</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0871- 63383335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cs="Times New Roman"/>
                <w:b/>
                <w:color w:val="000000" w:themeColor="text1"/>
                <w:sz w:val="20"/>
                <w:szCs w:val="20"/>
              </w:rPr>
            </w:pPr>
            <w:bookmarkStart w:id="14" w:name="法人"/>
            <w:r>
              <w:rPr>
                <w:rFonts w:ascii="宋体" w:hAnsi="宋体" w:cs="Times New Roman"/>
                <w:b/>
                <w:color w:val="000000" w:themeColor="text1"/>
                <w:sz w:val="20"/>
                <w:szCs w:val="20"/>
              </w:rPr>
              <w:t>廖春元</w:t>
            </w:r>
            <w:bookmarkEnd w:id="14"/>
          </w:p>
        </w:tc>
        <w:tc>
          <w:tcPr>
            <w:tcW w:w="1362" w:type="dxa"/>
            <w:gridSpan w:val="2"/>
            <w:vAlign w:val="center"/>
          </w:tcPr>
          <w:p>
            <w:pPr>
              <w:spacing w:line="320" w:lineRule="exact"/>
              <w:jc w:val="center"/>
              <w:rPr>
                <w:rFonts w:ascii="宋体" w:hAnsi="宋体" w:cs="Times New Roman"/>
                <w:b/>
                <w:color w:val="000000" w:themeColor="text1"/>
                <w:sz w:val="20"/>
                <w:szCs w:val="20"/>
              </w:rPr>
            </w:pPr>
            <w:r>
              <w:rPr>
                <w:rFonts w:hint="eastAsia" w:ascii="宋体" w:hAnsi="宋体" w:cs="Times New Roman"/>
                <w:b/>
                <w:color w:val="000000" w:themeColor="text1"/>
                <w:sz w:val="20"/>
                <w:szCs w:val="20"/>
              </w:rPr>
              <w:t>最高管理者</w:t>
            </w:r>
          </w:p>
        </w:tc>
        <w:tc>
          <w:tcPr>
            <w:tcW w:w="1518" w:type="dxa"/>
            <w:gridSpan w:val="2"/>
            <w:vAlign w:val="center"/>
          </w:tcPr>
          <w:p>
            <w:pPr>
              <w:spacing w:line="320" w:lineRule="exact"/>
              <w:jc w:val="center"/>
              <w:rPr>
                <w:rFonts w:ascii="宋体" w:hAnsi="宋体" w:cs="Times New Roman"/>
                <w:b/>
                <w:color w:val="000000" w:themeColor="text1"/>
                <w:sz w:val="20"/>
                <w:szCs w:val="20"/>
              </w:rPr>
            </w:pPr>
            <w:bookmarkStart w:id="15" w:name="最高管理者"/>
            <w:bookmarkEnd w:id="15"/>
            <w:r>
              <w:rPr>
                <w:rFonts w:hint="eastAsia" w:ascii="宋体" w:hAnsi="宋体" w:cs="Times New Roman"/>
                <w:b/>
                <w:color w:val="000000" w:themeColor="text1"/>
                <w:sz w:val="20"/>
                <w:szCs w:val="20"/>
                <w:lang w:eastAsia="zh-CN"/>
              </w:rPr>
              <w:t>王迅</w:t>
            </w:r>
          </w:p>
        </w:tc>
        <w:tc>
          <w:tcPr>
            <w:tcW w:w="1440" w:type="dxa"/>
            <w:gridSpan w:val="5"/>
            <w:vAlign w:val="center"/>
          </w:tcPr>
          <w:p>
            <w:pPr>
              <w:spacing w:line="320" w:lineRule="exact"/>
              <w:jc w:val="center"/>
              <w:rPr>
                <w:rFonts w:ascii="宋体" w:hAnsi="宋体" w:cs="Times New Roman"/>
                <w:b/>
                <w:color w:val="000000" w:themeColor="text1"/>
                <w:sz w:val="20"/>
                <w:szCs w:val="20"/>
              </w:rPr>
            </w:pPr>
            <w:r>
              <w:rPr>
                <w:rFonts w:hint="eastAsia" w:ascii="宋体" w:hAnsi="宋体" w:cs="Times New Roman"/>
                <w:b/>
                <w:color w:val="000000" w:themeColor="text1"/>
                <w:sz w:val="20"/>
                <w:szCs w:val="20"/>
              </w:rPr>
              <w:t>体系负责人</w:t>
            </w:r>
          </w:p>
        </w:tc>
        <w:tc>
          <w:tcPr>
            <w:tcW w:w="2017" w:type="dxa"/>
            <w:gridSpan w:val="4"/>
            <w:vAlign w:val="center"/>
          </w:tcPr>
          <w:p>
            <w:pPr>
              <w:spacing w:line="320" w:lineRule="exact"/>
              <w:jc w:val="center"/>
              <w:rPr>
                <w:rFonts w:ascii="宋体" w:hAnsi="宋体" w:cs="Times New Roman"/>
                <w:b/>
                <w:color w:val="000000" w:themeColor="text1"/>
                <w:sz w:val="20"/>
                <w:szCs w:val="20"/>
              </w:rPr>
            </w:pPr>
            <w:bookmarkStart w:id="16" w:name="管理者代表"/>
            <w:r>
              <w:rPr>
                <w:rFonts w:ascii="宋体" w:hAnsi="宋体" w:cs="Times New Roman"/>
                <w:b/>
                <w:color w:val="000000" w:themeColor="text1"/>
                <w:sz w:val="20"/>
                <w:szCs w:val="20"/>
              </w:rPr>
              <w:t>李国庆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jc w:val="left"/>
              <w:rPr>
                <w:rFonts w:ascii="宋体" w:hAnsi="宋体" w:cs="Times New Roman"/>
                <w:b/>
                <w:color w:val="000000" w:themeColor="text1"/>
                <w:sz w:val="20"/>
                <w:szCs w:val="20"/>
              </w:rPr>
            </w:pPr>
            <w:bookmarkStart w:id="17" w:name="审核范围"/>
            <w:r>
              <w:rPr>
                <w:rFonts w:ascii="宋体" w:hAnsi="宋体" w:cs="Times New Roman"/>
                <w:b/>
                <w:color w:val="000000" w:themeColor="text1"/>
                <w:sz w:val="20"/>
                <w:szCs w:val="20"/>
              </w:rPr>
              <w:t>Q：人工智能技术的开发</w:t>
            </w:r>
          </w:p>
          <w:p>
            <w:pPr>
              <w:spacing w:line="320" w:lineRule="exact"/>
              <w:jc w:val="left"/>
              <w:rPr>
                <w:rFonts w:ascii="宋体" w:hAnsi="宋体" w:cs="Times New Roman"/>
                <w:b/>
                <w:color w:val="000000" w:themeColor="text1"/>
                <w:sz w:val="20"/>
                <w:szCs w:val="20"/>
              </w:rPr>
            </w:pPr>
            <w:r>
              <w:rPr>
                <w:rFonts w:ascii="宋体" w:hAnsi="宋体" w:cs="Times New Roman"/>
                <w:b/>
                <w:color w:val="000000" w:themeColor="text1"/>
                <w:sz w:val="20"/>
                <w:szCs w:val="20"/>
              </w:rPr>
              <w:t>E：人工智能技术的开发及相关环境管理活动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Q：33.02.01</w:t>
            </w:r>
          </w:p>
          <w:p>
            <w:pPr>
              <w:spacing w:line="320" w:lineRule="exact"/>
              <w:rPr>
                <w:rFonts w:ascii="宋体" w:hAnsi="宋体"/>
                <w:b/>
                <w:color w:val="000000" w:themeColor="text1"/>
                <w:sz w:val="20"/>
                <w:szCs w:val="20"/>
              </w:rPr>
            </w:pPr>
            <w:r>
              <w:rPr>
                <w:rFonts w:ascii="宋体" w:hAnsi="宋体"/>
                <w:b/>
                <w:color w:val="000000" w:themeColor="text1"/>
                <w:sz w:val="20"/>
                <w:szCs w:val="20"/>
              </w:rPr>
              <w:t>E：33.02.01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w:t>
            </w:r>
            <w:r>
              <w:rPr>
                <w:rFonts w:hint="eastAsia" w:ascii="宋体" w:hAnsi="宋体"/>
                <w:b/>
                <w:color w:val="000000" w:themeColor="text1"/>
                <w:sz w:val="20"/>
                <w:szCs w:val="20"/>
                <w:lang w:val="en-US" w:eastAsia="zh-CN"/>
              </w:rPr>
              <w:t>9</w:t>
            </w:r>
            <w:r>
              <w:rPr>
                <w:rFonts w:ascii="宋体" w:hAnsi="宋体"/>
                <w:b/>
                <w:color w:val="000000" w:themeColor="text1"/>
                <w:sz w:val="20"/>
                <w:szCs w:val="20"/>
              </w:rPr>
              <w:t>-20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人事</w:t>
            </w:r>
            <w:r>
              <w:rPr>
                <w:rFonts w:hint="eastAsia" w:ascii="宋体" w:hAnsi="宋体"/>
                <w:b/>
                <w:color w:val="000000" w:themeColor="text1"/>
                <w:sz w:val="20"/>
                <w:szCs w:val="20"/>
                <w:lang w:eastAsia="zh-CN"/>
              </w:rPr>
              <w:t>人事行政部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技术服务部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产品研发；产品验收管理；监视和测量设备管理；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销售部</w:t>
            </w:r>
          </w:p>
        </w:tc>
        <w:tc>
          <w:tcPr>
            <w:tcW w:w="6804" w:type="dxa"/>
            <w:vAlign w:val="top"/>
          </w:tcPr>
          <w:p>
            <w:pPr>
              <w:jc w:val="left"/>
              <w:rPr>
                <w:rFonts w:hint="eastAsia"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rPr>
              <w:t>合同管理；客户管理</w:t>
            </w:r>
            <w:r>
              <w:rPr>
                <w:rFonts w:hint="eastAsia" w:ascii="宋体" w:hAnsi="宋体" w:cs="Times New Roman"/>
                <w:b/>
                <w:color w:val="000000" w:themeColor="text1"/>
                <w:sz w:val="20"/>
                <w:szCs w:val="20"/>
                <w:lang w:eastAsia="zh-CN"/>
              </w:rPr>
              <w:t>；</w:t>
            </w:r>
            <w:r>
              <w:rPr>
                <w:rFonts w:hint="eastAsia" w:ascii="宋体" w:hAnsi="宋体" w:cs="Times New Roman"/>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财务部</w:t>
            </w:r>
          </w:p>
        </w:tc>
        <w:tc>
          <w:tcPr>
            <w:tcW w:w="6804" w:type="dxa"/>
          </w:tcPr>
          <w:p>
            <w:pPr>
              <w:jc w:val="left"/>
              <w:rPr>
                <w:rFonts w:hint="default" w:ascii="宋体" w:hAnsi="宋体" w:cs="Times New Roman"/>
                <w:b/>
                <w:color w:val="000000" w:themeColor="text1"/>
                <w:sz w:val="20"/>
                <w:szCs w:val="20"/>
                <w:lang w:val="en-US" w:eastAsia="zh-CN"/>
              </w:rPr>
            </w:pPr>
            <w:r>
              <w:rPr>
                <w:rFonts w:hint="eastAsia" w:ascii="宋体" w:hAnsi="宋体" w:cs="Times New Roman"/>
                <w:b/>
                <w:color w:val="000000" w:themeColor="text1"/>
                <w:sz w:val="20"/>
                <w:szCs w:val="20"/>
                <w:lang w:val="en-US" w:eastAsia="zh-CN"/>
              </w:rPr>
              <w:t>资金保证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人工智能技术的开发</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宋体"/>
                <w:szCs w:val="21"/>
                <w:lang w:val="en-US" w:eastAsia="zh-CN"/>
              </w:rPr>
              <w:t>计算机软件开发规范GB8566-88、计算机软件单元测试GB/T 15532-95、计算机软件测试编制指南GB/ T9386-88、计算机软件需求说明编制指南GB/T 9385-88等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2019年9月20日至2020年7月5日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default" w:ascii="宋体" w:hAnsi="宋体" w:eastAsia="宋体"/>
                <w:color w:val="000000" w:themeColor="text1"/>
                <w:lang w:val="en-US" w:eastAsia="zh-CN"/>
              </w:rPr>
            </w:pPr>
            <w:r>
              <w:rPr>
                <w:rFonts w:hint="eastAsia" w:ascii="宋体" w:hAnsi="宋体"/>
                <w:color w:val="000000" w:themeColor="text1"/>
                <w:lang w:val="en-US" w:eastAsia="zh-CN"/>
              </w:rPr>
              <w:t>管理方针：</w:t>
            </w:r>
          </w:p>
          <w:p>
            <w:pPr>
              <w:spacing w:line="400" w:lineRule="exact"/>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以稳定品质、完善服务、持续改进、满足顾客需求；</w:t>
            </w:r>
          </w:p>
          <w:p>
            <w:pPr>
              <w:spacing w:line="360" w:lineRule="auto"/>
              <w:ind w:firstLine="420" w:firstLineChars="200"/>
              <w:jc w:val="left"/>
              <w:rPr>
                <w:b/>
                <w:color w:val="000000" w:themeColor="text1"/>
              </w:rPr>
            </w:pPr>
            <w:r>
              <w:rPr>
                <w:rFonts w:hint="eastAsia" w:ascii="Times New Roman" w:hAnsi="Times New Roman" w:cs="Times New Roman"/>
                <w:color w:val="auto"/>
                <w:sz w:val="21"/>
                <w:szCs w:val="21"/>
                <w:lang w:val="en-US" w:eastAsia="zh-CN"/>
              </w:rPr>
              <w:t>以安全生产、保护环境、守法诚信、体现社会责任。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质量管理体系过程有：合同评审、</w:t>
            </w:r>
            <w:r>
              <w:rPr>
                <w:rFonts w:hint="eastAsia" w:ascii="宋体" w:hAnsi="宋体"/>
                <w:b/>
                <w:color w:val="000000" w:themeColor="text1"/>
                <w:sz w:val="20"/>
                <w:szCs w:val="20"/>
                <w:highlight w:val="none"/>
                <w:lang w:val="en-US" w:eastAsia="zh-CN"/>
              </w:rPr>
              <w:t>产品测试</w:t>
            </w:r>
            <w:r>
              <w:rPr>
                <w:rFonts w:hint="eastAsia" w:ascii="宋体" w:hAnsi="宋体"/>
                <w:b/>
                <w:color w:val="000000" w:themeColor="text1"/>
                <w:sz w:val="20"/>
                <w:szCs w:val="20"/>
                <w:highlight w:val="none"/>
              </w:rPr>
              <w:t>、研发过程等。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研发</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研发</w:t>
            </w:r>
            <w:r>
              <w:rPr>
                <w:rFonts w:hint="eastAsia" w:ascii="宋体" w:hAnsi="宋体"/>
                <w:b/>
                <w:color w:val="000000" w:themeColor="text1"/>
                <w:sz w:val="20"/>
                <w:szCs w:val="20"/>
              </w:rPr>
              <w:t xml:space="preserve">过程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sz w:val="21"/>
                <w:szCs w:val="21"/>
              </w:rPr>
            </w:pPr>
            <w:r>
              <w:rPr>
                <w:rFonts w:hint="eastAsia"/>
                <w:lang w:val="en-US" w:eastAsia="zh-CN"/>
              </w:rPr>
              <w:t>7</w:t>
            </w:r>
            <w:r>
              <w:rPr>
                <w:rFonts w:ascii="宋体" w:hAnsi="宋体"/>
                <w:b/>
                <w:sz w:val="21"/>
                <w:szCs w:val="21"/>
              </w:rPr>
              <w:t xml:space="preserve">.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tabs>
                <w:tab w:val="left" w:pos="1220"/>
              </w:tabs>
              <w:bidi w:val="0"/>
              <w:jc w:val="left"/>
              <w:rPr>
                <w:rFonts w:hint="eastAsia"/>
                <w:lang w:val="en-US" w:eastAsia="zh-CN"/>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rPr>
                <w:rFonts w:ascii="宋体" w:hAnsi="宋体"/>
                <w:b/>
                <w:color w:val="000000" w:themeColor="text1"/>
                <w:szCs w:val="21"/>
              </w:rPr>
            </w:pP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结合公司的■产品/服务■环境因素，■确定 □未确定法律法规要求的具体条款，</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法律法规的宣传方式：培训、会议、张贴。</w:t>
            </w:r>
          </w:p>
          <w:p>
            <w:pPr>
              <w:pStyle w:val="12"/>
              <w:numPr>
                <w:ilvl w:val="0"/>
                <w:numId w:val="2"/>
              </w:numPr>
              <w:tabs>
                <w:tab w:val="left" w:pos="540"/>
              </w:tabs>
              <w:spacing w:line="300" w:lineRule="exact"/>
              <w:ind w:firstLineChars="0"/>
              <w:rPr>
                <w:rFonts w:hint="eastAsia" w:ascii="宋体" w:hAnsi="宋体" w:cs="Times New Roman"/>
                <w:b/>
                <w:color w:val="000000" w:themeColor="text1"/>
                <w:szCs w:val="21"/>
              </w:rPr>
            </w:pPr>
            <w:r>
              <w:rPr>
                <w:rFonts w:hint="eastAsia" w:ascii="宋体" w:hAnsi="宋体" w:cs="Times New Roman"/>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公司质量环境目标为：</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产品研发合格率100%</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客户满意度≥90分</w:t>
            </w:r>
            <w:r>
              <w:rPr>
                <w:rFonts w:hint="eastAsia" w:ascii="宋体" w:hAnsi="宋体" w:cs="宋体"/>
                <w:color w:val="000000"/>
                <w:kern w:val="0"/>
                <w:szCs w:val="21"/>
                <w:lang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对固体废弃物100%处理</w:t>
            </w:r>
            <w:r>
              <w:rPr>
                <w:rFonts w:hint="eastAsia" w:ascii="宋体" w:hAnsi="宋体" w:cs="宋体"/>
                <w:color w:val="000000"/>
                <w:kern w:val="0"/>
                <w:szCs w:val="21"/>
                <w:lang w:eastAsia="zh-CN"/>
              </w:rPr>
              <w:t>；</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火灾事故发生率为0</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val="en-US" w:eastAsia="zh-CN"/>
              </w:rPr>
              <w:t>质量、</w:t>
            </w:r>
            <w:r>
              <w:rPr>
                <w:rFonts w:hint="eastAsia" w:ascii="宋体" w:hAnsi="宋体"/>
                <w:color w:val="000000" w:themeColor="text1"/>
              </w:rPr>
              <w:t>环境</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w:t>
            </w:r>
            <w:r>
              <w:rPr>
                <w:rFonts w:hint="eastAsia" w:ascii="宋体" w:hAnsi="宋体"/>
                <w:szCs w:val="21"/>
              </w:rPr>
              <w:t>人工智能技术的开发</w:t>
            </w:r>
            <w:r>
              <w:rPr>
                <w:rFonts w:hint="eastAsia" w:ascii="宋体" w:hAnsi="宋体"/>
                <w:bCs/>
                <w:iCs/>
                <w:szCs w:val="22"/>
              </w:rPr>
              <w:t>相关</w:t>
            </w:r>
            <w:r>
              <w:rPr>
                <w:rFonts w:hint="eastAsia" w:ascii="宋体" w:hAnsi="宋体"/>
                <w:bCs/>
                <w:iCs/>
                <w:szCs w:val="22"/>
                <w:lang w:val="en-US" w:eastAsia="zh-CN"/>
              </w:rPr>
              <w:t>的</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rPr>
              <w:t>办公面积</w:t>
            </w:r>
            <w:r>
              <w:rPr>
                <w:rFonts w:hint="eastAsia" w:ascii="宋体" w:hAnsi="宋体"/>
                <w:bCs/>
                <w:iCs/>
                <w:lang w:val="en-US" w:eastAsia="zh-CN"/>
              </w:rPr>
              <w:t>1359.5</w:t>
            </w:r>
            <w:r>
              <w:rPr>
                <w:rFonts w:hint="eastAsia" w:ascii="宋体" w:hAnsi="宋体"/>
                <w:bCs/>
                <w:iCs/>
              </w:rPr>
              <w:t>平方米，主要设备包括：</w:t>
            </w:r>
            <w:r>
              <w:rPr>
                <w:rFonts w:hint="eastAsia" w:ascii="宋体" w:hAnsi="宋体"/>
                <w:bCs/>
                <w:iCs/>
                <w:lang w:val="en-US" w:eastAsia="zh-CN"/>
              </w:rPr>
              <w:t>电脑、打印机、手机、网络设备等办公设备</w:t>
            </w:r>
            <w:r>
              <w:rPr>
                <w:rFonts w:hint="eastAsia" w:ascii="宋体" w:hAnsi="宋体"/>
                <w:bCs/>
                <w:iCs/>
              </w:rPr>
              <w:t>，可以满足</w:t>
            </w:r>
            <w:r>
              <w:rPr>
                <w:rFonts w:hint="eastAsia" w:ascii="宋体" w:hAnsi="宋体"/>
                <w:szCs w:val="21"/>
              </w:rPr>
              <w:t>人工智能技术的开发</w:t>
            </w:r>
            <w:r>
              <w:rPr>
                <w:rFonts w:hint="eastAsia" w:ascii="宋体" w:hAnsi="宋体"/>
                <w:bCs/>
                <w:iCs/>
                <w:lang w:val="en-US" w:eastAsia="zh-CN"/>
              </w:rPr>
              <w:t>的</w:t>
            </w:r>
            <w:r>
              <w:rPr>
                <w:rFonts w:hint="eastAsia" w:ascii="宋体" w:hAnsi="宋体"/>
                <w:bCs/>
                <w:iCs/>
              </w:rPr>
              <w:t>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办公和作业所场设备布置合理，通道畅通，照明设施齐全，均配备了消防设施等设施。办公室明亮，作业场所光线较充足。每月由</w:t>
            </w:r>
            <w:r>
              <w:rPr>
                <w:rFonts w:hint="eastAsia" w:ascii="宋体" w:hAnsi="宋体" w:cs="宋体"/>
                <w:szCs w:val="21"/>
                <w:lang w:eastAsia="zh-CN"/>
              </w:rPr>
              <w:t>人事行政部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 xml:space="preserve">接口测试：postman、jmeter。自动化：编程语言python+selenium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20" w:type="dxa"/>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sz w:val="20"/>
                <w:szCs w:val="20"/>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ind w:firstLine="210" w:firstLineChars="100"/>
              <w:rPr>
                <w:rFonts w:ascii="宋体" w:hAnsi="宋体" w:cs="宋体"/>
                <w:szCs w:val="21"/>
              </w:rPr>
            </w:pPr>
            <w:r>
              <w:rPr>
                <w:rFonts w:hint="eastAsia" w:ascii="宋体" w:hAnsi="宋体" w:cs="宋体"/>
                <w:szCs w:val="21"/>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w:t>
            </w:r>
            <w:r>
              <w:rPr>
                <w:rFonts w:hint="eastAsia" w:asciiTheme="minorEastAsia" w:hAnsiTheme="minorEastAsia" w:eastAsiaTheme="minorEastAsia"/>
                <w:bCs/>
                <w:iCs/>
                <w:lang w:val="en-US" w:eastAsia="zh-CN"/>
              </w:rPr>
              <w:t>设计开发</w:t>
            </w:r>
            <w:r>
              <w:rPr>
                <w:rFonts w:hint="eastAsia" w:asciiTheme="minorEastAsia" w:hAnsiTheme="minorEastAsia" w:eastAsiaTheme="minor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w:t>
            </w:r>
            <w:r>
              <w:rPr>
                <w:rFonts w:hint="eastAsia"/>
                <w:b/>
                <w:sz w:val="20"/>
                <w:szCs w:val="20"/>
                <w:lang w:val="en-US" w:eastAsia="zh-CN"/>
              </w:rPr>
              <w:t>1</w:t>
            </w:r>
            <w:r>
              <w:rPr>
                <w:rFonts w:hint="eastAsia"/>
                <w:b/>
                <w:sz w:val="20"/>
                <w:szCs w:val="20"/>
              </w:rPr>
              <w:t xml:space="preserve"> .对危险化学品销售、使用、储存、运输处置，规定的执行力度(必要时); （适用时）</w:t>
            </w:r>
          </w:p>
          <w:p>
            <w:pPr>
              <w:spacing w:line="240" w:lineRule="exact"/>
              <w:rPr>
                <w:sz w:val="20"/>
                <w:szCs w:val="20"/>
              </w:rPr>
            </w:pPr>
            <w:r>
              <w:rPr>
                <w:rFonts w:hint="eastAsia"/>
                <w:sz w:val="20"/>
                <w:szCs w:val="20"/>
              </w:rPr>
              <w:t>危险化学品：无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315" w:firstLineChars="150"/>
              <w:rPr>
                <w:b/>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w:t>
            </w:r>
            <w:r>
              <w:rPr>
                <w:rFonts w:hint="eastAsia" w:ascii="宋体" w:hAnsi="宋体" w:cs="宋体"/>
                <w:szCs w:val="21"/>
                <w:highlight w:val="none"/>
              </w:rPr>
              <w:t>到沟通和监视评价，通过数据的汇总统计、描述性统计等方法对目标进行了测量，总体已达到或超过了规定的目标值。通过2019年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2020年3</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sz w:val="20"/>
                <w:szCs w:val="20"/>
              </w:rPr>
            </w:pPr>
            <w:r>
              <w:rPr>
                <w:rFonts w:hint="eastAsia"/>
                <w:b/>
                <w:sz w:val="20"/>
                <w:szCs w:val="20"/>
              </w:rPr>
              <w:t>2.顾客满意</w:t>
            </w:r>
          </w:p>
          <w:p>
            <w:pPr>
              <w:spacing w:line="240" w:lineRule="exact"/>
              <w:ind w:left="105" w:leftChars="50" w:firstLine="315" w:firstLineChars="150"/>
              <w:rPr>
                <w:b/>
                <w:sz w:val="20"/>
                <w:szCs w:val="20"/>
              </w:rPr>
            </w:pPr>
            <w:r>
              <w:rPr>
                <w:rFonts w:hint="eastAsia" w:ascii="宋体" w:hAnsi="宋体" w:cs="宋体"/>
                <w:szCs w:val="21"/>
              </w:rPr>
              <w:t>公司建立了顾客满意度监视和测量控制程序，对</w:t>
            </w:r>
            <w:r>
              <w:rPr>
                <w:rFonts w:hint="eastAsia" w:ascii="宋体" w:hAnsi="宋体" w:cs="宋体"/>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hint="default"/>
                <w:b/>
                <w:sz w:val="20"/>
                <w:szCs w:val="20"/>
                <w:lang w:val="en-US"/>
              </w:rPr>
            </w:pPr>
            <w:r>
              <w:rPr>
                <w:rFonts w:hint="eastAsia" w:ascii="宋体" w:hAnsi="宋体" w:cs="宋体"/>
                <w:szCs w:val="21"/>
              </w:rPr>
              <w:t>建立有《内部审核控制程序》，规定了内审频次一年一次，内审时间：20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25日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r>
              <w:rPr>
                <w:rFonts w:hint="eastAsia" w:ascii="宋体" w:hAnsi="宋体" w:cs="宋体"/>
                <w:szCs w:val="21"/>
              </w:rPr>
              <w:t>管理评审频次为一年一次、本次管理评审于20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人工智能技术的开发</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rPr>
              <w:t xml:space="preserve">人工智能技术的开发及相关环境管理活动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3"/>
        </w:numPr>
        <w:spacing w:before="156" w:beforeLines="50" w:after="156" w:afterLines="50"/>
        <w:ind w:left="1" w:leftChars="-405" w:hanging="851" w:hangingChars="326"/>
        <w:rPr>
          <w:rFonts w:hint="eastAsia"/>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受疫情影响，本次为远程审核，后续安排现场审核进行验证，预留人/日 1天</w:t>
      </w:r>
    </w:p>
    <w:p>
      <w:pPr>
        <w:spacing w:before="156" w:beforeLines="50" w:after="156" w:afterLines="50"/>
        <w:ind w:left="1" w:leftChars="-405" w:hanging="851" w:hangingChars="326"/>
        <w:rPr>
          <w:rFonts w:hint="default" w:eastAsia="宋体"/>
          <w:b/>
          <w:color w:val="000000" w:themeColor="text1"/>
          <w:sz w:val="26"/>
          <w:szCs w:val="26"/>
          <w:lang w:val="en-US" w:eastAsia="zh-CN"/>
        </w:rPr>
      </w:pPr>
    </w:p>
    <w:p>
      <w:pPr>
        <w:spacing w:before="156" w:beforeLines="50" w:after="156" w:afterLines="50"/>
        <w:rPr>
          <w:b/>
          <w:color w:val="000000" w:themeColor="text1"/>
          <w:sz w:val="16"/>
          <w:szCs w:val="16"/>
        </w:rPr>
      </w:pPr>
      <w:bookmarkStart w:id="21" w:name="_GoBack"/>
      <w:bookmarkEnd w:id="21"/>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73600" behindDoc="0" locked="0" layoutInCell="1" allowOverlap="1">
            <wp:simplePos x="0" y="0"/>
            <wp:positionH relativeFrom="column">
              <wp:posOffset>1600835</wp:posOffset>
            </wp:positionH>
            <wp:positionV relativeFrom="paragraph">
              <wp:posOffset>212725</wp:posOffset>
            </wp:positionV>
            <wp:extent cx="556260" cy="393065"/>
            <wp:effectExtent l="0" t="0" r="15240" b="635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556260" cy="39306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74624" behindDoc="0" locked="0" layoutInCell="1" allowOverlap="1">
            <wp:simplePos x="0" y="0"/>
            <wp:positionH relativeFrom="column">
              <wp:posOffset>1689100</wp:posOffset>
            </wp:positionH>
            <wp:positionV relativeFrom="paragraph">
              <wp:posOffset>100965</wp:posOffset>
            </wp:positionV>
            <wp:extent cx="622300" cy="330835"/>
            <wp:effectExtent l="0" t="0" r="5715" b="13335"/>
            <wp:wrapSquare wrapText="bothSides"/>
            <wp:docPr id="4" name="图片 4"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余家龙电子签名"/>
                    <pic:cNvPicPr>
                      <a:picLocks noChangeAspect="1"/>
                    </pic:cNvPicPr>
                  </pic:nvPicPr>
                  <pic:blipFill>
                    <a:blip r:embed="rId7"/>
                    <a:stretch>
                      <a:fillRect/>
                    </a:stretch>
                  </pic:blipFill>
                  <pic:spPr>
                    <a:xfrm>
                      <a:off x="0" y="0"/>
                      <a:ext cx="622300" cy="33083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2020年07月05日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522" w:firstLineChars="200"/>
        <w:jc w:val="left"/>
        <w:rPr>
          <w:rFonts w:hint="default" w:eastAsia="宋体"/>
          <w:b/>
          <w:color w:val="000000" w:themeColor="text1"/>
          <w:szCs w:val="21"/>
          <w:lang w:val="en-US" w:eastAsia="zh-CN"/>
        </w:rPr>
      </w:pPr>
      <w:r>
        <w:rPr>
          <w:rFonts w:hint="eastAsia" w:eastAsia="宋体"/>
          <w:b/>
          <w:color w:val="000000" w:themeColor="text1"/>
          <w:sz w:val="26"/>
          <w:szCs w:val="26"/>
          <w:lang w:eastAsia="zh-CN"/>
        </w:rPr>
        <w:drawing>
          <wp:anchor distT="0" distB="0" distL="114300" distR="114300" simplePos="0" relativeHeight="251691008" behindDoc="0" locked="0" layoutInCell="1" allowOverlap="1">
            <wp:simplePos x="0" y="0"/>
            <wp:positionH relativeFrom="column">
              <wp:posOffset>1363345</wp:posOffset>
            </wp:positionH>
            <wp:positionV relativeFrom="paragraph">
              <wp:posOffset>64770</wp:posOffset>
            </wp:positionV>
            <wp:extent cx="556260" cy="393065"/>
            <wp:effectExtent l="0" t="0" r="15240" b="6350"/>
            <wp:wrapSquare wrapText="bothSides"/>
            <wp:docPr id="5" name="图片 5"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林签名"/>
                    <pic:cNvPicPr>
                      <a:picLocks noChangeAspect="1"/>
                    </pic:cNvPicPr>
                  </pic:nvPicPr>
                  <pic:blipFill>
                    <a:blip r:embed="rId6"/>
                    <a:stretch>
                      <a:fillRect/>
                    </a:stretch>
                  </pic:blipFill>
                  <pic:spPr>
                    <a:xfrm>
                      <a:off x="0" y="0"/>
                      <a:ext cx="556260" cy="393065"/>
                    </a:xfrm>
                    <a:prstGeom prst="rect">
                      <a:avLst/>
                    </a:prstGeom>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日期:    </w:t>
      </w:r>
      <w:r>
        <w:rPr>
          <w:rFonts w:hint="eastAsia"/>
          <w:b/>
          <w:color w:val="000000" w:themeColor="text1"/>
          <w:szCs w:val="21"/>
          <w:lang w:val="en-US" w:eastAsia="zh-CN"/>
        </w:rPr>
        <w:t>2020年07月07日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pStyle w:val="2"/>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40CE7"/>
    <w:multiLevelType w:val="singleLevel"/>
    <w:tmpl w:val="CF840CE7"/>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2842FB"/>
    <w:rsid w:val="07AD0C2F"/>
    <w:rsid w:val="0F2B6F8D"/>
    <w:rsid w:val="1E550DFC"/>
    <w:rsid w:val="20B8599D"/>
    <w:rsid w:val="2DE03628"/>
    <w:rsid w:val="4DF00EDD"/>
    <w:rsid w:val="4EB47BD1"/>
    <w:rsid w:val="5A0A0BC9"/>
    <w:rsid w:val="5B9A1360"/>
    <w:rsid w:val="5F8D7B50"/>
    <w:rsid w:val="7007324F"/>
    <w:rsid w:val="70995E3A"/>
    <w:rsid w:val="71175883"/>
    <w:rsid w:val="753804A0"/>
    <w:rsid w:val="78497E0F"/>
    <w:rsid w:val="7E321336"/>
    <w:rsid w:val="7FC87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2020-07-01T07:53:57Z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