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hint="eastAsia" w:ascii="宋体" w:hAnsi="宋体" w:cs="宋体"/>
          <w:b/>
          <w:bCs/>
          <w:color w:val="000000"/>
          <w:sz w:val="28"/>
          <w:szCs w:val="28"/>
          <w14:shadow w14:blurRad="50800" w14:dist="38100" w14:dir="2700000" w14:sx="100000" w14:sy="100000" w14:kx="0" w14:ky="0" w14:algn="tl">
            <w14:srgbClr w14:val="000000">
              <w14:alpha w14:val="60000"/>
            </w14:srgbClr>
          </w14:shadow>
        </w:rPr>
        <w:t>附录A：</w:t>
      </w:r>
    </w:p>
    <w:p>
      <w:pPr>
        <w:pStyle w:val="3"/>
        <w:spacing w:line="240" w:lineRule="auto"/>
        <w:jc w:val="center"/>
        <w:rPr>
          <w:rFonts w:ascii="宋体" w:hAnsi="宋体" w:cs="宋体"/>
          <w:b/>
          <w:bCs/>
          <w:snapToGrid w:val="0"/>
          <w:color w:val="000000"/>
          <w:kern w:val="0"/>
          <w:sz w:val="24"/>
          <w:szCs w:val="24"/>
        </w:rPr>
      </w:pPr>
      <w:r>
        <w:rPr>
          <w:rFonts w:hint="eastAsia" w:ascii="宋体" w:hAnsi="宋体" w:cs="宋体"/>
          <w:b/>
          <w:bCs/>
          <w:kern w:val="0"/>
          <w:sz w:val="24"/>
          <w:szCs w:val="24"/>
          <w:lang w:val="en-US" w:eastAsia="zh-CN"/>
        </w:rPr>
        <w:t>螺杆泵公扣接头</w:t>
      </w:r>
      <w:r>
        <w:rPr>
          <w:rFonts w:hint="eastAsia" w:ascii="Times New Roman" w:hAnsi="Times New Roman" w:cs="宋体"/>
          <w:b/>
          <w:bCs/>
          <w:sz w:val="24"/>
          <w:szCs w:val="24"/>
          <w:lang w:eastAsia="zh-CN"/>
        </w:rPr>
        <w:t>外径</w:t>
      </w:r>
      <w:r>
        <w:rPr>
          <w:rFonts w:hint="default" w:ascii="Times New Roman" w:hAnsi="Times New Roman" w:eastAsia="宋体" w:cs="Times New Roman"/>
          <w:b/>
          <w:bCs/>
          <w:sz w:val="24"/>
          <w:szCs w:val="24"/>
          <w:lang w:val="en-US" w:eastAsia="zh-CN"/>
        </w:rPr>
        <w:t>测量</w:t>
      </w:r>
      <w:r>
        <w:rPr>
          <w:rFonts w:hint="eastAsia" w:ascii="宋体" w:hAnsi="宋体" w:cs="宋体"/>
          <w:b/>
          <w:bCs/>
          <w:snapToGrid w:val="0"/>
          <w:color w:val="000000"/>
          <w:kern w:val="0"/>
          <w:sz w:val="24"/>
          <w:szCs w:val="24"/>
        </w:rPr>
        <w:t>过程</w:t>
      </w:r>
      <w:r>
        <w:rPr>
          <w:rFonts w:hint="eastAsia" w:ascii="宋体" w:hAnsi="宋体" w:cs="宋体"/>
          <w:b/>
          <w:bCs/>
          <w:snapToGrid w:val="0"/>
          <w:color w:val="000000"/>
          <w:kern w:val="0"/>
          <w:sz w:val="24"/>
          <w:szCs w:val="24"/>
          <w:lang w:val="en-US" w:eastAsia="zh-CN"/>
        </w:rPr>
        <w:t>测量</w:t>
      </w:r>
      <w:r>
        <w:rPr>
          <w:rFonts w:hint="eastAsia" w:ascii="宋体" w:hAnsi="宋体" w:cs="宋体"/>
          <w:b/>
          <w:bCs/>
          <w:snapToGrid w:val="0"/>
          <w:color w:val="000000"/>
          <w:kern w:val="0"/>
          <w:sz w:val="24"/>
          <w:szCs w:val="24"/>
        </w:rPr>
        <w:t>不确定评定报告</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1、测量过程</w:t>
      </w:r>
      <w:r>
        <w:rPr>
          <w:rFonts w:hint="default" w:ascii="Times New Roman" w:hAnsi="Times New Roman" w:eastAsia="宋体" w:cs="Times New Roman"/>
          <w:b/>
          <w:color w:val="000000"/>
          <w:sz w:val="21"/>
          <w:szCs w:val="21"/>
        </w:rPr>
        <w:br w:type="textWrapping"/>
      </w:r>
      <w:r>
        <w:rPr>
          <w:rFonts w:hint="default" w:ascii="Times New Roman" w:hAnsi="Times New Roman" w:eastAsia="宋体" w:cs="Times New Roman"/>
          <w:color w:val="000000"/>
          <w:sz w:val="21"/>
          <w:szCs w:val="21"/>
        </w:rPr>
        <w:t>1.1、</w:t>
      </w:r>
      <w:r>
        <w:rPr>
          <w:rFonts w:hint="default" w:ascii="Times New Roman" w:hAnsi="Times New Roman" w:eastAsia="宋体" w:cs="Times New Roman"/>
          <w:sz w:val="21"/>
          <w:szCs w:val="21"/>
        </w:rPr>
        <w:t>测量方法：</w:t>
      </w:r>
      <w:bookmarkStart w:id="0" w:name="_GoBack"/>
      <w:r>
        <w:rPr>
          <w:rFonts w:hint="eastAsia" w:cs="Times New Roman"/>
          <w:sz w:val="21"/>
          <w:szCs w:val="21"/>
          <w:lang w:val="en-US" w:eastAsia="zh-CN"/>
        </w:rPr>
        <w:t>JT</w:t>
      </w:r>
      <w:r>
        <w:rPr>
          <w:rFonts w:hint="eastAsia" w:ascii="Times New Roman" w:hAnsi="Times New Roman" w:eastAsia="宋体" w:cs="Times New Roman"/>
          <w:b w:val="0"/>
          <w:bCs w:val="0"/>
          <w:snapToGrid w:val="0"/>
          <w:color w:val="auto"/>
          <w:kern w:val="0"/>
          <w:sz w:val="21"/>
          <w:szCs w:val="21"/>
          <w:lang w:val="en-US" w:eastAsia="zh-CN"/>
        </w:rPr>
        <w:t>-</w:t>
      </w:r>
      <w:r>
        <w:rPr>
          <w:rFonts w:hint="eastAsia" w:cs="Times New Roman"/>
          <w:b w:val="0"/>
          <w:bCs w:val="0"/>
          <w:snapToGrid w:val="0"/>
          <w:color w:val="auto"/>
          <w:kern w:val="0"/>
          <w:sz w:val="21"/>
          <w:szCs w:val="21"/>
          <w:lang w:val="en-US" w:eastAsia="zh-CN"/>
        </w:rPr>
        <w:t>ZD-</w:t>
      </w:r>
      <w:r>
        <w:rPr>
          <w:rFonts w:hint="eastAsia" w:ascii="Times New Roman" w:hAnsi="Times New Roman" w:eastAsia="宋体" w:cs="Times New Roman"/>
          <w:b w:val="0"/>
          <w:bCs w:val="0"/>
          <w:snapToGrid w:val="0"/>
          <w:color w:val="auto"/>
          <w:kern w:val="0"/>
          <w:sz w:val="21"/>
          <w:szCs w:val="21"/>
          <w:lang w:val="en-US" w:eastAsia="zh-CN"/>
        </w:rPr>
        <w:t>202001《游标卡尺测量作业指导书》</w:t>
      </w:r>
      <w:r>
        <w:rPr>
          <w:rFonts w:hint="default" w:ascii="Times New Roman" w:hAnsi="Times New Roman" w:eastAsia="宋体" w:cs="Times New Roman"/>
          <w:sz w:val="21"/>
          <w:szCs w:val="21"/>
        </w:rPr>
        <w:t>。</w:t>
      </w:r>
      <w:bookmarkEnd w:id="0"/>
      <w:r>
        <w:rPr>
          <w:rFonts w:hint="default" w:ascii="Times New Roman" w:hAnsi="Times New Roman" w:eastAsia="宋体" w:cs="Times New Roman"/>
          <w:sz w:val="21"/>
          <w:szCs w:val="21"/>
        </w:rPr>
        <w:t>　</w:t>
      </w:r>
      <w:r>
        <w:rPr>
          <w:rFonts w:hint="default" w:ascii="Times New Roman" w:hAnsi="Times New Roman" w:eastAsia="宋体" w:cs="Times New Roman"/>
          <w:color w:val="000000"/>
          <w:sz w:val="21"/>
          <w:szCs w:val="21"/>
        </w:rPr>
        <w:t xml:space="preserve"> </w:t>
      </w:r>
    </w:p>
    <w:p>
      <w:pPr>
        <w:spacing w:line="360" w:lineRule="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1.2、环境条件：</w:t>
      </w:r>
      <w:r>
        <w:rPr>
          <w:rFonts w:hint="default" w:ascii="Times New Roman" w:hAnsi="Times New Roman" w:eastAsia="宋体" w:cs="Times New Roman"/>
          <w:color w:val="000000"/>
          <w:sz w:val="21"/>
          <w:szCs w:val="21"/>
          <w:lang w:val="en-US" w:eastAsia="zh-CN"/>
        </w:rPr>
        <w:t>常温</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w:t>
      </w:r>
      <w:r>
        <w:rPr>
          <w:rFonts w:hint="default" w:ascii="Times New Roman" w:hAnsi="Times New Roman" w:eastAsia="宋体" w:cs="Times New Roman"/>
          <w:color w:val="000000"/>
          <w:sz w:val="21"/>
          <w:szCs w:val="21"/>
          <w:lang w:val="en-US" w:eastAsia="zh-CN"/>
        </w:rPr>
        <w:t>测量</w:t>
      </w:r>
      <w:r>
        <w:rPr>
          <w:rFonts w:hint="default" w:ascii="Times New Roman" w:hAnsi="Times New Roman" w:eastAsia="宋体" w:cs="Times New Roman"/>
          <w:color w:val="000000"/>
          <w:sz w:val="21"/>
          <w:szCs w:val="21"/>
        </w:rPr>
        <w:t>设备：</w:t>
      </w:r>
      <w:r>
        <w:rPr>
          <w:rFonts w:hint="default" w:ascii="Times New Roman" w:hAnsi="Times New Roman" w:eastAsia="宋体" w:cs="Times New Roman"/>
          <w:color w:val="000000"/>
          <w:sz w:val="21"/>
          <w:szCs w:val="21"/>
          <w:lang w:val="en-US" w:eastAsia="zh-CN"/>
        </w:rPr>
        <w:t>游标卡尺</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，测量范围为（0-</w:t>
      </w:r>
      <w:r>
        <w:rPr>
          <w:rFonts w:hint="default" w:ascii="Times New Roman" w:hAnsi="Times New Roman" w:eastAsia="宋体" w:cs="Times New Roman"/>
          <w:color w:val="0D0D0D" w:themeColor="text1" w:themeTint="F2"/>
          <w:sz w:val="21"/>
          <w:szCs w:val="21"/>
          <w:lang w:val="en-US" w:eastAsia="zh-CN"/>
          <w14:textFill>
            <w14:solidFill>
              <w14:schemeClr w14:val="tx1">
                <w14:lumMod w14:val="95000"/>
                <w14:lumOff w14:val="5000"/>
              </w14:schemeClr>
            </w14:solidFill>
          </w14:textFill>
        </w:rPr>
        <w:t>300</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）mm,</w:t>
      </w:r>
      <w:r>
        <w:rPr>
          <w:rFonts w:hint="default" w:ascii="Times New Roman" w:hAnsi="Times New Roman" w:eastAsia="宋体" w:cs="Times New Roman"/>
          <w:color w:val="000000"/>
          <w:sz w:val="21"/>
          <w:szCs w:val="21"/>
        </w:rPr>
        <w:t>其</w:t>
      </w:r>
      <w:r>
        <w:rPr>
          <w:rFonts w:hint="default" w:ascii="Times New Roman" w:hAnsi="Times New Roman" w:eastAsia="宋体" w:cs="Times New Roman"/>
          <w:color w:val="000000"/>
          <w:sz w:val="21"/>
          <w:szCs w:val="21"/>
          <w:lang w:val="en-US" w:eastAsia="zh-CN"/>
        </w:rPr>
        <w:t>最大</w:t>
      </w:r>
      <w:r>
        <w:rPr>
          <w:rFonts w:hint="default" w:ascii="Times New Roman" w:hAnsi="Times New Roman" w:eastAsia="宋体" w:cs="Times New Roman"/>
          <w:color w:val="000000"/>
          <w:sz w:val="21"/>
          <w:szCs w:val="21"/>
        </w:rPr>
        <w:t>允</w:t>
      </w:r>
      <w:r>
        <w:rPr>
          <w:rFonts w:hint="default" w:ascii="Times New Roman" w:hAnsi="Times New Roman" w:eastAsia="宋体" w:cs="Times New Roman"/>
          <w:color w:val="000000"/>
          <w:sz w:val="21"/>
          <w:szCs w:val="21"/>
          <w:lang w:val="en-US" w:eastAsia="zh-CN"/>
        </w:rPr>
        <w:t>许误差</w:t>
      </w:r>
      <w:r>
        <w:rPr>
          <w:rFonts w:hint="default" w:ascii="Times New Roman" w:hAnsi="Times New Roman" w:eastAsia="宋体" w:cs="Times New Roman"/>
          <w:color w:val="000000"/>
          <w:sz w:val="21"/>
          <w:szCs w:val="21"/>
        </w:rPr>
        <w:t>为±0.</w:t>
      </w:r>
      <w:r>
        <w:rPr>
          <w:rFonts w:hint="default" w:ascii="Times New Roman" w:hAnsi="Times New Roman" w:eastAsia="宋体" w:cs="Times New Roman"/>
          <w:color w:val="000000"/>
          <w:sz w:val="21"/>
          <w:szCs w:val="21"/>
          <w:lang w:val="en-US" w:eastAsia="zh-CN"/>
        </w:rPr>
        <w:t>0</w:t>
      </w:r>
      <w:r>
        <w:rPr>
          <w:rFonts w:hint="eastAsia" w:cs="Times New Roman"/>
          <w:color w:val="000000"/>
          <w:sz w:val="21"/>
          <w:szCs w:val="21"/>
          <w:lang w:val="en-US" w:eastAsia="zh-CN"/>
        </w:rPr>
        <w:t>2</w:t>
      </w:r>
      <w:r>
        <w:rPr>
          <w:rFonts w:hint="default" w:ascii="Times New Roman" w:hAnsi="Times New Roman" w:eastAsia="宋体" w:cs="Times New Roman"/>
          <w:color w:val="000000"/>
          <w:sz w:val="21"/>
          <w:szCs w:val="21"/>
        </w:rPr>
        <w:t>mm，不确定度为</w:t>
      </w:r>
      <w:r>
        <w:rPr>
          <w:rFonts w:hint="default" w:ascii="Times New Roman" w:hAnsi="Times New Roman" w:eastAsia="宋体" w:cs="Times New Roman"/>
          <w:i/>
          <w:iCs/>
          <w:color w:val="000000"/>
          <w:sz w:val="21"/>
          <w:szCs w:val="21"/>
        </w:rPr>
        <w:t>U</w:t>
      </w:r>
      <w:r>
        <w:rPr>
          <w:rFonts w:hint="default" w:ascii="Times New Roman" w:hAnsi="Times New Roman" w:eastAsia="宋体" w:cs="Times New Roman"/>
          <w:color w:val="000000"/>
          <w:kern w:val="0"/>
          <w:sz w:val="21"/>
          <w:szCs w:val="21"/>
          <w:lang w:bidi="ar"/>
        </w:rPr>
        <w:t>=0.0</w:t>
      </w: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eastAsia="宋体" w:cs="Times New Roman"/>
          <w:color w:val="000000"/>
          <w:kern w:val="0"/>
          <w:sz w:val="21"/>
          <w:szCs w:val="21"/>
          <w:lang w:bidi="ar"/>
        </w:rPr>
        <w:t xml:space="preserve">mm </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iCs/>
          <w:color w:val="000000"/>
          <w:kern w:val="0"/>
          <w:sz w:val="21"/>
          <w:szCs w:val="21"/>
          <w:lang w:bidi="ar"/>
        </w:rPr>
        <w:t>k</w:t>
      </w:r>
      <w:r>
        <w:rPr>
          <w:rFonts w:hint="default" w:ascii="Times New Roman" w:hAnsi="Times New Roman" w:eastAsia="宋体" w:cs="Times New Roman"/>
          <w:color w:val="000000"/>
          <w:kern w:val="0"/>
          <w:sz w:val="21"/>
          <w:szCs w:val="21"/>
          <w:lang w:bidi="ar"/>
        </w:rPr>
        <w:t>=2）</w:t>
      </w:r>
      <w:r>
        <w:rPr>
          <w:rFonts w:hint="default" w:ascii="Times New Roman" w:hAnsi="Times New Roman" w:eastAsia="宋体" w:cs="Times New Roman"/>
          <w:color w:val="000000"/>
          <w:sz w:val="21"/>
          <w:szCs w:val="21"/>
        </w:rPr>
        <w:t>。</w:t>
      </w:r>
    </w:p>
    <w:p>
      <w:pPr>
        <w:spacing w:line="360" w:lineRule="auto"/>
        <w:rPr>
          <w:rFonts w:hint="eastAsia" w:ascii="Times New Roman" w:hAnsi="Times New Roman" w:cs="宋体"/>
          <w:lang w:eastAsia="zh-CN"/>
        </w:rPr>
      </w:pPr>
      <w:r>
        <w:rPr>
          <w:rFonts w:hint="default" w:ascii="Times New Roman" w:hAnsi="Times New Roman" w:eastAsia="宋体" w:cs="Times New Roman"/>
          <w:color w:val="000000"/>
          <w:sz w:val="21"/>
          <w:szCs w:val="21"/>
        </w:rPr>
        <w:t>1.4、被测对象：</w:t>
      </w:r>
      <w:r>
        <w:rPr>
          <w:rFonts w:hint="eastAsia" w:ascii="宋体" w:hAnsi="宋体" w:cs="宋体"/>
          <w:kern w:val="0"/>
          <w:szCs w:val="21"/>
          <w:lang w:val="en-US" w:eastAsia="zh-CN"/>
        </w:rPr>
        <w:t>螺杆泵公扣接头</w:t>
      </w:r>
      <w:r>
        <w:rPr>
          <w:rFonts w:hint="eastAsia" w:ascii="Times New Roman" w:hAnsi="Times New Roman" w:cs="宋体"/>
          <w:lang w:eastAsia="zh-CN"/>
        </w:rPr>
        <w:t>外径</w:t>
      </w:r>
    </w:p>
    <w:p>
      <w:pPr>
        <w:spacing w:line="36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sz w:val="21"/>
          <w:szCs w:val="21"/>
        </w:rPr>
        <w:t>1.5、测量过程：用</w:t>
      </w:r>
      <w:r>
        <w:rPr>
          <w:rFonts w:hint="default" w:ascii="Times New Roman" w:hAnsi="Times New Roman" w:eastAsia="宋体" w:cs="Times New Roman"/>
          <w:sz w:val="21"/>
          <w:szCs w:val="21"/>
          <w:lang w:val="en-US" w:eastAsia="zh-CN"/>
        </w:rPr>
        <w:t>游标卡尺在被测工件上进行测量，并</w:t>
      </w:r>
      <w:r>
        <w:rPr>
          <w:rFonts w:hint="default" w:ascii="Times New Roman" w:hAnsi="Times New Roman" w:eastAsia="宋体" w:cs="Times New Roman"/>
          <w:sz w:val="21"/>
          <w:szCs w:val="21"/>
        </w:rPr>
        <w:t>直接读出数据。</w:t>
      </w:r>
    </w:p>
    <w:p>
      <w:pPr>
        <w:autoSpaceDE w:val="0"/>
        <w:autoSpaceDN w:val="0"/>
        <w:adjustRightInd w:val="0"/>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sz w:val="21"/>
          <w:szCs w:val="21"/>
        </w:rPr>
        <w:t>2、数学模型</w:t>
      </w:r>
      <w:r>
        <w:rPr>
          <w:rFonts w:hint="default" w:ascii="Times New Roman" w:hAnsi="Times New Roman" w:eastAsia="宋体" w:cs="Times New Roman"/>
          <w:sz w:val="21"/>
          <w:szCs w:val="21"/>
        </w:rPr>
        <w:t xml:space="preserve"> </w:t>
      </w:r>
    </w:p>
    <w:p>
      <w:pPr>
        <w:autoSpaceDE w:val="0"/>
        <w:autoSpaceDN w:val="0"/>
        <w:adjustRightInd w:val="0"/>
        <w:spacing w:line="360" w:lineRule="auto"/>
        <w:ind w:firstLine="1050" w:firstLineChars="5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f=m       </w:t>
      </w:r>
    </w:p>
    <w:p>
      <w:pPr>
        <w:autoSpaceDE w:val="0"/>
        <w:autoSpaceDN w:val="0"/>
        <w:adjustRightIn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式中：f－为被</w:t>
      </w:r>
      <w:r>
        <w:rPr>
          <w:rFonts w:hint="default" w:ascii="Times New Roman" w:hAnsi="Times New Roman" w:eastAsia="宋体" w:cs="Times New Roman"/>
          <w:kern w:val="0"/>
          <w:sz w:val="21"/>
          <w:szCs w:val="21"/>
          <w:lang w:val="en-US" w:eastAsia="zh-CN"/>
        </w:rPr>
        <w:t>测尺寸</w:t>
      </w:r>
      <w:r>
        <w:rPr>
          <w:rFonts w:hint="default" w:ascii="Times New Roman" w:hAnsi="Times New Roman" w:eastAsia="宋体" w:cs="Times New Roman"/>
          <w:kern w:val="0"/>
          <w:sz w:val="21"/>
          <w:szCs w:val="21"/>
        </w:rPr>
        <w:t>；</w:t>
      </w:r>
    </w:p>
    <w:p>
      <w:pPr>
        <w:autoSpaceDE w:val="0"/>
        <w:autoSpaceDN w:val="0"/>
        <w:adjustRightInd w:val="0"/>
        <w:spacing w:line="360" w:lineRule="auto"/>
        <w:ind w:firstLine="1050" w:firstLineChars="5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m－为</w:t>
      </w:r>
      <w:r>
        <w:rPr>
          <w:rFonts w:hint="default" w:ascii="Times New Roman" w:hAnsi="Times New Roman" w:eastAsia="宋体" w:cs="Times New Roman"/>
          <w:kern w:val="0"/>
          <w:sz w:val="21"/>
          <w:szCs w:val="21"/>
          <w:lang w:val="en-US" w:eastAsia="zh-CN"/>
        </w:rPr>
        <w:t>游标卡尺的</w:t>
      </w:r>
      <w:r>
        <w:rPr>
          <w:rFonts w:hint="default" w:ascii="Times New Roman" w:hAnsi="Times New Roman" w:eastAsia="宋体" w:cs="Times New Roman"/>
          <w:kern w:val="0"/>
          <w:sz w:val="21"/>
          <w:szCs w:val="21"/>
        </w:rPr>
        <w:t>读数值。</w:t>
      </w:r>
    </w:p>
    <w:p>
      <w:pPr>
        <w:numPr>
          <w:ilvl w:val="0"/>
          <w:numId w:val="1"/>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输入量的标准不确定度评定</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输入量的不确定度来源主要是：测量重复性引起的不确定度u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b/>
          <w:bCs/>
          <w:sz w:val="21"/>
          <w:szCs w:val="21"/>
        </w:rPr>
        <w:t>；</w:t>
      </w:r>
      <w:r>
        <w:rPr>
          <w:rFonts w:hint="default" w:ascii="Times New Roman" w:hAnsi="Times New Roman" w:eastAsia="宋体" w:cs="Times New Roman"/>
          <w:bCs/>
          <w:sz w:val="21"/>
          <w:szCs w:val="21"/>
        </w:rPr>
        <w:t>测量设备</w:t>
      </w:r>
      <w:r>
        <w:rPr>
          <w:rFonts w:hint="default" w:ascii="Times New Roman" w:hAnsi="Times New Roman" w:eastAsia="宋体" w:cs="Times New Roman"/>
          <w:sz w:val="21"/>
          <w:szCs w:val="21"/>
        </w:rPr>
        <w:t>引入的标准不确定度u</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bCs/>
          <w:sz w:val="21"/>
          <w:szCs w:val="21"/>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3.1测量重复性引起的标准不确定度u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sz w:val="21"/>
          <w:szCs w:val="21"/>
        </w:rPr>
        <w:t>的评定</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输入量测量重复性不确定度的来源主要是测量重复性引起的标准不确定度。</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做A类评定测量：在</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正常工作状态下，同一组人，用同一台设备，在相临近的时间内，对被测</w:t>
      </w:r>
      <w:r>
        <w:rPr>
          <w:rFonts w:hint="default" w:ascii="Times New Roman" w:hAnsi="Times New Roman" w:eastAsia="宋体" w:cs="Times New Roman"/>
          <w:sz w:val="21"/>
          <w:szCs w:val="21"/>
          <w:lang w:val="en-US" w:eastAsia="zh-CN"/>
        </w:rPr>
        <w:t>光缆</w:t>
      </w:r>
      <w:r>
        <w:rPr>
          <w:rFonts w:hint="default" w:ascii="Times New Roman" w:hAnsi="Times New Roman" w:eastAsia="宋体" w:cs="Times New Roman"/>
          <w:sz w:val="21"/>
          <w:szCs w:val="21"/>
        </w:rPr>
        <w:t>连续测量10次，得到10个数据汇于表1：</w:t>
      </w:r>
    </w:p>
    <w:p>
      <w:pPr>
        <w:spacing w:line="360" w:lineRule="auto"/>
        <w:ind w:firstLine="3150" w:firstLineChars="1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表1重复性数据</w:t>
      </w:r>
    </w:p>
    <w:tbl>
      <w:tblPr>
        <w:tblStyle w:val="6"/>
        <w:tblpPr w:leftFromText="180" w:rightFromText="180" w:vertAnchor="text" w:horzAnchor="page" w:tblpX="1090" w:tblpY="244"/>
        <w:tblOverlap w:val="never"/>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870"/>
        <w:gridCol w:w="975"/>
        <w:gridCol w:w="855"/>
        <w:gridCol w:w="822"/>
        <w:gridCol w:w="848"/>
        <w:gridCol w:w="865"/>
        <w:gridCol w:w="795"/>
        <w:gridCol w:w="840"/>
        <w:gridCol w:w="85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05"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870"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975"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855"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822"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84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865"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795"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840"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855"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825"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05" w:type="dxa"/>
            <w:vAlign w:val="center"/>
          </w:tcPr>
          <w:p>
            <w:pPr>
              <w:widowControl/>
              <w:adjustRightInd w:val="0"/>
              <w:spacing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rPr>
              <w:t>读数值(mm)</w:t>
            </w:r>
          </w:p>
        </w:tc>
        <w:tc>
          <w:tcPr>
            <w:tcW w:w="870"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113.90</w:t>
            </w:r>
          </w:p>
        </w:tc>
        <w:tc>
          <w:tcPr>
            <w:tcW w:w="975"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113.90</w:t>
            </w:r>
          </w:p>
        </w:tc>
        <w:tc>
          <w:tcPr>
            <w:tcW w:w="855"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113.92</w:t>
            </w:r>
          </w:p>
        </w:tc>
        <w:tc>
          <w:tcPr>
            <w:tcW w:w="822"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113.90</w:t>
            </w:r>
          </w:p>
        </w:tc>
        <w:tc>
          <w:tcPr>
            <w:tcW w:w="8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113.90</w:t>
            </w:r>
          </w:p>
        </w:tc>
        <w:tc>
          <w:tcPr>
            <w:tcW w:w="865"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113.98</w:t>
            </w:r>
          </w:p>
        </w:tc>
        <w:tc>
          <w:tcPr>
            <w:tcW w:w="795"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113.90</w:t>
            </w:r>
          </w:p>
        </w:tc>
        <w:tc>
          <w:tcPr>
            <w:tcW w:w="840"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113.90</w:t>
            </w:r>
          </w:p>
        </w:tc>
        <w:tc>
          <w:tcPr>
            <w:tcW w:w="855"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113.90</w:t>
            </w:r>
          </w:p>
        </w:tc>
        <w:tc>
          <w:tcPr>
            <w:tcW w:w="825"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113.96</w:t>
            </w:r>
          </w:p>
        </w:tc>
      </w:tr>
    </w:tbl>
    <w:p>
      <w:pPr>
        <w:spacing w:line="360" w:lineRule="auto"/>
        <w:ind w:firstLine="630" w:firstLineChars="300"/>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宋体" w:cs="Times New Roman"/>
          <w:sz w:val="21"/>
          <w:szCs w:val="21"/>
        </w:rPr>
        <w:t>样品测量值的平均值：</w:t>
      </w:r>
      <w:r>
        <w:rPr>
          <w:rFonts w:hint="default" w:ascii="Times New Roman" w:hAnsi="Times New Roman" w:eastAsia="宋体" w:cs="Times New Roman"/>
          <w:i/>
          <w:position w:val="-24"/>
          <w:sz w:val="21"/>
          <w:szCs w:val="21"/>
        </w:rPr>
        <w:object>
          <v:shape id="_x0000_i1025" o:spt="75" alt="" type="#_x0000_t75" style="height:37pt;width:131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widowControl/>
        <w:tabs>
          <w:tab w:val="center" w:pos="4360"/>
          <w:tab w:val="right" w:pos="8300"/>
        </w:tabs>
        <w:spacing w:line="360" w:lineRule="auto"/>
        <w:ind w:firstLine="630" w:firstLineChars="300"/>
        <w:rPr>
          <w:rFonts w:hint="default" w:ascii="Times New Roman" w:hAnsi="Times New Roman" w:eastAsia="宋体" w:cs="Times New Roman"/>
          <w:kern w:val="0"/>
          <w:position w:val="-26"/>
          <w:sz w:val="21"/>
          <w:szCs w:val="21"/>
        </w:rPr>
      </w:pPr>
      <w:r>
        <w:rPr>
          <w:rFonts w:hint="default" w:ascii="Times New Roman" w:hAnsi="Times New Roman" w:eastAsia="宋体" w:cs="Times New Roman"/>
          <w:kern w:val="0"/>
          <w:sz w:val="21"/>
          <w:szCs w:val="21"/>
        </w:rPr>
        <w:t>实验标准差</w:t>
      </w:r>
      <w:r>
        <w:rPr>
          <w:rFonts w:hint="eastAsia" w:cs="Times New Roman"/>
          <w:kern w:val="0"/>
          <w:sz w:val="21"/>
          <w:szCs w:val="21"/>
          <w:lang w:eastAsia="zh-CN"/>
        </w:rPr>
        <w:t>：</w:t>
      </w:r>
      <w:r>
        <w:rPr>
          <w:rFonts w:hint="default" w:ascii="Times New Roman" w:hAnsi="Times New Roman" w:eastAsia="宋体" w:cs="Times New Roman"/>
          <w:kern w:val="0"/>
          <w:position w:val="-26"/>
          <w:sz w:val="21"/>
          <w:szCs w:val="21"/>
        </w:rPr>
        <w:object>
          <v:shape id="_x0000_i1026" o:spt="75" alt="" type="#_x0000_t75" style="height:42.95pt;width:157.95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p>
      <w:pPr>
        <w:keepNext w:val="0"/>
        <w:keepLines w:val="0"/>
        <w:pageBreakBefore w:val="0"/>
        <w:widowControl/>
        <w:tabs>
          <w:tab w:val="center" w:pos="4360"/>
          <w:tab w:val="right" w:pos="8300"/>
        </w:tabs>
        <w:kinsoku/>
        <w:wordWrap/>
        <w:overflowPunct/>
        <w:topLinePunct w:val="0"/>
        <w:bidi w:val="0"/>
        <w:snapToGrid/>
        <w:spacing w:line="360" w:lineRule="auto"/>
        <w:ind w:firstLine="420" w:firstLineChars="200"/>
        <w:textAlignment w:val="auto"/>
        <w:rPr>
          <w:rFonts w:hint="default" w:ascii="Times New Roman" w:hAnsi="Times New Roman" w:eastAsia="宋体" w:cs="Times New Roman"/>
          <w:kern w:val="0"/>
          <w:position w:val="-26"/>
          <w:sz w:val="21"/>
          <w:szCs w:val="21"/>
          <w:lang w:val="en-US" w:eastAsia="zh-CN"/>
        </w:rPr>
      </w:pPr>
      <w:r>
        <w:rPr>
          <w:rFonts w:hint="default" w:ascii="Times New Roman" w:hAnsi="Times New Roman" w:eastAsia="宋体" w:cs="Times New Roman"/>
          <w:kern w:val="0"/>
          <w:position w:val="-26"/>
          <w:sz w:val="21"/>
          <w:szCs w:val="21"/>
          <w:lang w:val="en-US" w:eastAsia="zh-CN"/>
        </w:rPr>
        <w:t xml:space="preserve">  </w:t>
      </w:r>
      <w:r>
        <w:rPr>
          <w:rFonts w:hint="default" w:ascii="Times New Roman" w:hAnsi="Times New Roman" w:eastAsia="宋体" w:cs="Times New Roman"/>
          <w:color w:val="000000" w:themeColor="text1"/>
          <w:kern w:val="0"/>
          <w:sz w:val="21"/>
          <w:szCs w:val="21"/>
          <w14:textFill>
            <w14:solidFill>
              <w14:schemeClr w14:val="tx1"/>
            </w14:solidFill>
          </w14:textFill>
        </w:rPr>
        <w:t>被测量估计值（</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7" o:spt="75" type="#_x0000_t75" style="height:16pt;width:13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）标准不确定度分量</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u</w:t>
      </w:r>
      <w:r>
        <w:rPr>
          <w:rFonts w:hint="default" w:ascii="Times New Roman" w:hAnsi="Times New Roman" w:eastAsia="宋体" w:cs="Times New Roman"/>
          <w:color w:val="000000" w:themeColor="text1"/>
          <w:sz w:val="21"/>
          <w:szCs w:val="21"/>
          <w:vertAlign w:val="subscript"/>
          <w14:textFill>
            <w14:solidFill>
              <w14:schemeClr w14:val="tx1"/>
            </w14:solidFill>
          </w14:textFill>
        </w:rPr>
        <w:t>1</w:t>
      </w:r>
      <w:r>
        <w:rPr>
          <w:rFonts w:hint="default" w:ascii="Times New Roman" w:hAnsi="Times New Roman" w:eastAsia="宋体"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8" o:spt="75" type="#_x0000_t75" style="height:16pt;width:13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为1组数据的平均值，取n=1）</w:t>
      </w:r>
    </w:p>
    <w:p>
      <w:pPr>
        <w:widowControl/>
        <w:tabs>
          <w:tab w:val="center" w:pos="4360"/>
          <w:tab w:val="right" w:pos="8300"/>
        </w:tabs>
        <w:spacing w:line="360" w:lineRule="auto"/>
        <w:ind w:firstLine="630" w:firstLineChars="30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则</w:t>
      </w:r>
      <w:r>
        <w:rPr>
          <w:rFonts w:hint="default" w:ascii="Times New Roman" w:hAnsi="Times New Roman" w:eastAsia="宋体" w:cs="Times New Roman"/>
          <w:kern w:val="0"/>
          <w:sz w:val="21"/>
          <w:szCs w:val="21"/>
        </w:rPr>
        <w:t>标准不确定度分量</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u</w:t>
      </w:r>
      <w:r>
        <w:rPr>
          <w:rFonts w:hint="default" w:ascii="Times New Roman" w:hAnsi="Times New Roman" w:eastAsia="宋体" w:cs="Times New Roman"/>
          <w:color w:val="0D0D0D" w:themeColor="text1" w:themeTint="F2"/>
          <w:kern w:val="0"/>
          <w:sz w:val="21"/>
          <w:szCs w:val="21"/>
          <w:vertAlign w:val="subscript"/>
          <w14:textFill>
            <w14:solidFill>
              <w14:schemeClr w14:val="tx1">
                <w14:lumMod w14:val="95000"/>
                <w14:lumOff w14:val="5000"/>
              </w14:schemeClr>
            </w14:solidFill>
          </w14:textFill>
        </w:rPr>
        <w:t>1</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=s=0.</w:t>
      </w: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03</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mm</w:t>
      </w:r>
      <w:r>
        <w:rPr>
          <w:rFonts w:hint="default" w:ascii="Times New Roman" w:hAnsi="Times New Roman" w:eastAsia="宋体" w:cs="Times New Roman"/>
          <w:sz w:val="21"/>
          <w:szCs w:val="21"/>
        </w:rPr>
        <w:t xml:space="preserve">                                   </w:t>
      </w:r>
    </w:p>
    <w:p>
      <w:pPr>
        <w:widowControl/>
        <w:tabs>
          <w:tab w:val="center" w:pos="4360"/>
          <w:tab w:val="right" w:pos="8300"/>
        </w:tabs>
        <w:spacing w:line="360" w:lineRule="auto"/>
        <w:rPr>
          <w:rFonts w:hint="default" w:ascii="Times New Roman" w:hAnsi="Times New Roman" w:eastAsia="宋体" w:cs="Times New Roman"/>
          <w:kern w:val="0"/>
          <w:sz w:val="21"/>
          <w:szCs w:val="21"/>
          <w:vertAlign w:val="subscript"/>
        </w:rPr>
      </w:pPr>
      <w:r>
        <w:rPr>
          <w:rFonts w:hint="default" w:ascii="Times New Roman" w:hAnsi="Times New Roman" w:eastAsia="宋体" w:cs="Times New Roman"/>
          <w:kern w:val="0"/>
          <w:sz w:val="21"/>
          <w:szCs w:val="21"/>
        </w:rPr>
        <w:t>3.2、</w:t>
      </w:r>
      <w:r>
        <w:rPr>
          <w:rFonts w:hint="default" w:ascii="Times New Roman" w:hAnsi="Times New Roman" w:eastAsia="宋体" w:cs="Times New Roman"/>
          <w:sz w:val="21"/>
          <w:szCs w:val="21"/>
        </w:rPr>
        <w:t>测量设备示值误差引入的</w:t>
      </w:r>
      <w:r>
        <w:rPr>
          <w:rFonts w:hint="default" w:ascii="Times New Roman" w:hAnsi="Times New Roman" w:eastAsia="宋体" w:cs="Times New Roman"/>
          <w:kern w:val="0"/>
          <w:sz w:val="21"/>
          <w:szCs w:val="21"/>
        </w:rPr>
        <w:t>不确定度影响分量u</w:t>
      </w:r>
      <w:r>
        <w:rPr>
          <w:rFonts w:hint="default" w:ascii="Times New Roman" w:hAnsi="Times New Roman" w:eastAsia="宋体" w:cs="Times New Roman"/>
          <w:kern w:val="0"/>
          <w:sz w:val="21"/>
          <w:szCs w:val="21"/>
          <w:vertAlign w:val="subscript"/>
        </w:rPr>
        <w:t>2</w:t>
      </w:r>
    </w:p>
    <w:p>
      <w:pPr>
        <w:spacing w:line="360" w:lineRule="auto"/>
        <w:ind w:firstLine="420" w:firstLineChars="200"/>
        <w:rPr>
          <w:rFonts w:hint="default" w:ascii="Times New Roman" w:hAnsi="Times New Roman" w:eastAsia="宋体" w:cs="Times New Roman"/>
          <w:i/>
          <w:position w:val="-24"/>
          <w:sz w:val="21"/>
          <w:szCs w:val="21"/>
        </w:rPr>
      </w:pPr>
      <w:r>
        <w:rPr>
          <w:rFonts w:hint="default" w:ascii="Times New Roman" w:hAnsi="Times New Roman" w:eastAsia="宋体" w:cs="Times New Roman"/>
          <w:sz w:val="21"/>
          <w:szCs w:val="21"/>
        </w:rPr>
        <w:t>查</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的校准证书，出具的</w:t>
      </w:r>
      <w:r>
        <w:rPr>
          <w:rFonts w:hint="default" w:ascii="Times New Roman" w:hAnsi="Times New Roman" w:eastAsia="宋体" w:cs="Times New Roman"/>
          <w:sz w:val="21"/>
          <w:szCs w:val="21"/>
          <w:lang w:val="en-US" w:eastAsia="zh-CN"/>
        </w:rPr>
        <w:t>最大允许误差±0.0</w:t>
      </w: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mm</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均匀分布，取k=</w:t>
      </w:r>
      <w:r>
        <w:rPr>
          <w:rFonts w:hint="default" w:ascii="Times New Roman" w:hAnsi="Times New Roman" w:eastAsia="宋体" w:cs="Times New Roman"/>
          <w:color w:val="000000"/>
          <w:position w:val="-8"/>
          <w:sz w:val="21"/>
          <w:szCs w:val="21"/>
          <w:lang w:val="en-US" w:eastAsia="zh-CN"/>
        </w:rPr>
        <w:object>
          <v:shape id="_x0000_i1029" o:spt="75" type="#_x0000_t75" style="height:18pt;width:18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default" w:ascii="Times New Roman" w:hAnsi="Times New Roman" w:eastAsia="宋体" w:cs="Times New Roman"/>
          <w:sz w:val="21"/>
          <w:szCs w:val="21"/>
        </w:rPr>
        <w:t>则由设备示值误差引入的不确定分量为：</w:t>
      </w:r>
      <w:r>
        <w:rPr>
          <w:rFonts w:hint="default" w:ascii="Times New Roman" w:hAnsi="Times New Roman" w:eastAsia="宋体" w:cs="Times New Roman"/>
          <w:i/>
          <w:position w:val="-28"/>
          <w:sz w:val="21"/>
          <w:szCs w:val="21"/>
        </w:rPr>
        <w:object>
          <v:shape id="_x0000_i1030" o:spt="75" alt="" type="#_x0000_t75" style="height:32.85pt;width:121.95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4、合成标准不确定度的评定</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4.1标准不确定度汇总表</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输入量的标准不确定度汇总于表2。</w:t>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表2   标准不确定度汇总表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0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标准不确定度分量u</w:t>
            </w:r>
            <w:r>
              <w:rPr>
                <w:rFonts w:hint="default" w:ascii="Times New Roman" w:hAnsi="Times New Roman" w:eastAsia="宋体" w:cs="Times New Roman"/>
                <w:sz w:val="21"/>
                <w:szCs w:val="21"/>
                <w:vertAlign w:val="subscript"/>
              </w:rPr>
              <w:t>c</w:t>
            </w:r>
          </w:p>
        </w:tc>
        <w:tc>
          <w:tcPr>
            <w:tcW w:w="427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不确定度来源</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不确定度值u（</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bscript"/>
              </w:rPr>
              <w:t>i</w:t>
            </w: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1</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测量重复性所引入的不确定度</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r>
              <w:rPr>
                <w:rFonts w:hint="eastAsia" w:cs="Times New Roman"/>
                <w:sz w:val="21"/>
                <w:szCs w:val="21"/>
                <w:lang w:val="en-US" w:eastAsia="zh-CN"/>
              </w:rPr>
              <w:t>03</w:t>
            </w:r>
            <w:r>
              <w:rPr>
                <w:rFonts w:hint="default" w:ascii="Times New Roman" w:hAnsi="Times New Roman" w:eastAsia="宋体" w:cs="Times New Roman"/>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2</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测量设备引入的不确定度</w:t>
            </w:r>
          </w:p>
        </w:tc>
        <w:tc>
          <w:tcPr>
            <w:tcW w:w="2246" w:type="dxa"/>
            <w:vAlign w:val="center"/>
          </w:tcPr>
          <w:p>
            <w:pPr>
              <w:widowControl/>
              <w:tabs>
                <w:tab w:val="center" w:pos="4612"/>
              </w:tabs>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w:t>
            </w:r>
            <w:r>
              <w:rPr>
                <w:rFonts w:hint="eastAsia" w:cs="Times New Roman"/>
                <w:sz w:val="21"/>
                <w:szCs w:val="21"/>
                <w:lang w:val="en-US" w:eastAsia="zh-CN"/>
              </w:rPr>
              <w:t>1</w:t>
            </w:r>
            <w:r>
              <w:rPr>
                <w:rFonts w:hint="default" w:ascii="Times New Roman" w:hAnsi="Times New Roman" w:eastAsia="宋体" w:cs="Times New Roman"/>
                <w:sz w:val="21"/>
                <w:szCs w:val="21"/>
              </w:rPr>
              <w:t>mm</w:t>
            </w:r>
          </w:p>
        </w:tc>
      </w:tr>
    </w:tbl>
    <w:p>
      <w:pPr>
        <w:spacing w:line="360" w:lineRule="auto"/>
        <w:rPr>
          <w:rFonts w:hint="default" w:ascii="Times New Roman" w:hAnsi="Times New Roman" w:eastAsia="宋体" w:cs="Times New Roman"/>
          <w:sz w:val="21"/>
          <w:szCs w:val="21"/>
        </w:rPr>
      </w:pP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4.2合成标准不确定度的计算</w:t>
      </w:r>
    </w:p>
    <w:p>
      <w:pPr>
        <w:spacing w:line="360" w:lineRule="auto"/>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合成标准不确定度可按下式得到：</w:t>
      </w:r>
      <w:r>
        <w:rPr>
          <w:rFonts w:hint="default" w:ascii="Times New Roman" w:hAnsi="Times New Roman" w:eastAsia="宋体" w:cs="Times New Roman"/>
          <w:position w:val="-12"/>
          <w:sz w:val="21"/>
          <w:szCs w:val="21"/>
          <w:vertAlign w:val="subscript"/>
        </w:rPr>
        <w:object>
          <v:shape id="_x0000_i1031" o:spt="75" alt="" type="#_x0000_t75" style="height:22.35pt;width:214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5、扩展不确定度的计算</w:t>
      </w:r>
    </w:p>
    <w:p>
      <w:pPr>
        <w:spacing w:line="360" w:lineRule="auto"/>
        <w:ind w:left="36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取</w:t>
      </w:r>
      <w:r>
        <w:rPr>
          <w:rFonts w:hint="default" w:ascii="Times New Roman" w:hAnsi="Times New Roman" w:eastAsia="宋体" w:cs="Times New Roman"/>
          <w:kern w:val="0"/>
          <w:sz w:val="21"/>
          <w:szCs w:val="21"/>
        </w:rPr>
        <w:t>包含因子</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default" w:ascii="Times New Roman" w:hAnsi="Times New Roman" w:eastAsia="宋体" w:cs="Times New Roman"/>
          <w:i/>
          <w:sz w:val="21"/>
          <w:szCs w:val="21"/>
        </w:rPr>
        <w:t xml:space="preserve"> </w:t>
      </w:r>
      <w:r>
        <w:rPr>
          <w:rFonts w:hint="default" w:ascii="Times New Roman" w:hAnsi="Times New Roman" w:eastAsia="宋体" w:cs="Times New Roman"/>
          <w:sz w:val="21"/>
          <w:szCs w:val="21"/>
        </w:rPr>
        <w:t>得</w:t>
      </w:r>
      <w:r>
        <w:rPr>
          <w:rFonts w:hint="default" w:ascii="Times New Roman" w:hAnsi="Times New Roman" w:eastAsia="宋体" w:cs="Times New Roman"/>
          <w:i/>
          <w:sz w:val="21"/>
          <w:szCs w:val="21"/>
        </w:rPr>
        <w:t>U＝</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sz w:val="21"/>
          <w:szCs w:val="21"/>
        </w:rPr>
        <w:t>u</w:t>
      </w:r>
      <w:r>
        <w:rPr>
          <w:rFonts w:hint="default" w:ascii="Times New Roman" w:hAnsi="Times New Roman" w:eastAsia="宋体" w:cs="Times New Roman"/>
          <w:sz w:val="21"/>
          <w:szCs w:val="21"/>
          <w:vertAlign w:val="subscript"/>
        </w:rPr>
        <w:t>c</w:t>
      </w:r>
      <w:r>
        <w:rPr>
          <w:rFonts w:hint="default" w:ascii="Times New Roman" w:hAnsi="Times New Roman" w:eastAsia="宋体" w:cs="Times New Roman"/>
          <w:sz w:val="21"/>
          <w:szCs w:val="21"/>
        </w:rPr>
        <w:t>＝2×0.</w:t>
      </w:r>
      <w:r>
        <w:rPr>
          <w:rFonts w:hint="eastAsia" w:cs="Times New Roman"/>
          <w:sz w:val="21"/>
          <w:szCs w:val="21"/>
          <w:lang w:val="en-US" w:eastAsia="zh-CN"/>
        </w:rPr>
        <w:t>04</w:t>
      </w:r>
      <w:r>
        <w:rPr>
          <w:rFonts w:hint="default" w:ascii="Times New Roman" w:hAnsi="Times New Roman" w:eastAsia="宋体" w:cs="Times New Roman"/>
          <w:sz w:val="21"/>
          <w:szCs w:val="21"/>
        </w:rPr>
        <w:t>＝0.</w:t>
      </w:r>
      <w:r>
        <w:rPr>
          <w:rFonts w:hint="eastAsia" w:cs="Times New Roman"/>
          <w:sz w:val="21"/>
          <w:szCs w:val="21"/>
          <w:lang w:val="en-US" w:eastAsia="zh-CN"/>
        </w:rPr>
        <w:t>08</w:t>
      </w:r>
      <w:r>
        <w:rPr>
          <w:rFonts w:hint="default" w:ascii="Times New Roman" w:hAnsi="Times New Roman" w:eastAsia="宋体" w:cs="Times New Roman"/>
          <w:sz w:val="21"/>
          <w:szCs w:val="21"/>
        </w:rPr>
        <w:t>mm</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 xml:space="preserve">6、测量不确定度的报告与表示   </w:t>
      </w:r>
      <w:r>
        <w:rPr>
          <w:rFonts w:hint="default" w:ascii="Times New Roman" w:hAnsi="Times New Roman" w:eastAsia="宋体" w:cs="Times New Roman"/>
          <w:sz w:val="21"/>
          <w:szCs w:val="21"/>
        </w:rPr>
        <w:t xml:space="preserve">  </w:t>
      </w:r>
    </w:p>
    <w:p>
      <w:pPr>
        <w:spacing w:line="360" w:lineRule="auto"/>
        <w:ind w:firstLine="420" w:firstLineChars="200"/>
        <w:rPr>
          <w:rFonts w:hint="default" w:ascii="Times New Roman" w:hAnsi="Times New Roman" w:eastAsia="宋体" w:cs="Times New Roman"/>
          <w:color w:val="000000"/>
          <w:sz w:val="21"/>
          <w:szCs w:val="21"/>
        </w:rPr>
      </w:pPr>
      <w:r>
        <w:rPr>
          <w:rFonts w:hint="default" w:ascii="Times New Roman" w:hAnsi="Times New Roman" w:eastAsia="宋体" w:cs="Times New Roman"/>
          <w:i/>
          <w:sz w:val="21"/>
          <w:szCs w:val="21"/>
        </w:rPr>
        <w:t>U＝</w:t>
      </w:r>
      <w:r>
        <w:rPr>
          <w:rFonts w:hint="default" w:ascii="Times New Roman" w:hAnsi="Times New Roman" w:eastAsia="宋体" w:cs="Times New Roman"/>
          <w:iCs/>
          <w:sz w:val="21"/>
          <w:szCs w:val="21"/>
        </w:rPr>
        <w:t>0.</w:t>
      </w:r>
      <w:r>
        <w:rPr>
          <w:rFonts w:hint="eastAsia" w:cs="Times New Roman"/>
          <w:iCs/>
          <w:sz w:val="21"/>
          <w:szCs w:val="21"/>
          <w:lang w:val="en-US" w:eastAsia="zh-CN"/>
        </w:rPr>
        <w:t>08</w:t>
      </w:r>
      <w:r>
        <w:rPr>
          <w:rFonts w:hint="default" w:ascii="Times New Roman" w:hAnsi="Times New Roman" w:eastAsia="宋体" w:cs="Times New Roman"/>
          <w:iCs/>
          <w:sz w:val="21"/>
          <w:szCs w:val="21"/>
        </w:rPr>
        <w:t>mm</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2B07E"/>
    <w:multiLevelType w:val="singleLevel"/>
    <w:tmpl w:val="9032B07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CB"/>
    <w:rsid w:val="00016E6D"/>
    <w:rsid w:val="0003227F"/>
    <w:rsid w:val="00085A5F"/>
    <w:rsid w:val="000A4AA5"/>
    <w:rsid w:val="000A6049"/>
    <w:rsid w:val="000A63D2"/>
    <w:rsid w:val="000E7B93"/>
    <w:rsid w:val="000F53AC"/>
    <w:rsid w:val="001011C2"/>
    <w:rsid w:val="00104588"/>
    <w:rsid w:val="0010623A"/>
    <w:rsid w:val="0011008B"/>
    <w:rsid w:val="00122F68"/>
    <w:rsid w:val="0012715F"/>
    <w:rsid w:val="001A51CD"/>
    <w:rsid w:val="001D0E7E"/>
    <w:rsid w:val="001E4B34"/>
    <w:rsid w:val="00201DB4"/>
    <w:rsid w:val="0020782B"/>
    <w:rsid w:val="002107AF"/>
    <w:rsid w:val="002674CB"/>
    <w:rsid w:val="002903BC"/>
    <w:rsid w:val="002C0A5E"/>
    <w:rsid w:val="00305008"/>
    <w:rsid w:val="00342DEA"/>
    <w:rsid w:val="003867FC"/>
    <w:rsid w:val="003E7DB7"/>
    <w:rsid w:val="00427C6F"/>
    <w:rsid w:val="00457A38"/>
    <w:rsid w:val="00474314"/>
    <w:rsid w:val="00485659"/>
    <w:rsid w:val="004F72D6"/>
    <w:rsid w:val="00500911"/>
    <w:rsid w:val="0051393E"/>
    <w:rsid w:val="005B1001"/>
    <w:rsid w:val="005B31F7"/>
    <w:rsid w:val="005D1F10"/>
    <w:rsid w:val="005D6B5E"/>
    <w:rsid w:val="005F1833"/>
    <w:rsid w:val="005F29E5"/>
    <w:rsid w:val="006307E9"/>
    <w:rsid w:val="0063207C"/>
    <w:rsid w:val="00632299"/>
    <w:rsid w:val="00635031"/>
    <w:rsid w:val="006375AE"/>
    <w:rsid w:val="00666500"/>
    <w:rsid w:val="006B586F"/>
    <w:rsid w:val="006C42A7"/>
    <w:rsid w:val="007041AF"/>
    <w:rsid w:val="007A4563"/>
    <w:rsid w:val="007B5237"/>
    <w:rsid w:val="007D5F08"/>
    <w:rsid w:val="007E6AF4"/>
    <w:rsid w:val="00853C4D"/>
    <w:rsid w:val="00864046"/>
    <w:rsid w:val="00892990"/>
    <w:rsid w:val="008A6A9A"/>
    <w:rsid w:val="008B68D1"/>
    <w:rsid w:val="008C1276"/>
    <w:rsid w:val="00905CBF"/>
    <w:rsid w:val="009145A0"/>
    <w:rsid w:val="00917AB6"/>
    <w:rsid w:val="00931C27"/>
    <w:rsid w:val="00945422"/>
    <w:rsid w:val="0096432D"/>
    <w:rsid w:val="009646DF"/>
    <w:rsid w:val="009663CA"/>
    <w:rsid w:val="00977C49"/>
    <w:rsid w:val="00996BFC"/>
    <w:rsid w:val="009A08D6"/>
    <w:rsid w:val="009C212D"/>
    <w:rsid w:val="009C4E52"/>
    <w:rsid w:val="009E727A"/>
    <w:rsid w:val="00A10C98"/>
    <w:rsid w:val="00A4183F"/>
    <w:rsid w:val="00A669D3"/>
    <w:rsid w:val="00A92912"/>
    <w:rsid w:val="00A9589B"/>
    <w:rsid w:val="00AC0468"/>
    <w:rsid w:val="00AC232C"/>
    <w:rsid w:val="00AE3E03"/>
    <w:rsid w:val="00AE6A78"/>
    <w:rsid w:val="00B1167D"/>
    <w:rsid w:val="00B30A5D"/>
    <w:rsid w:val="00B3623F"/>
    <w:rsid w:val="00B539D0"/>
    <w:rsid w:val="00B73F07"/>
    <w:rsid w:val="00BB4A6D"/>
    <w:rsid w:val="00C24F7E"/>
    <w:rsid w:val="00C27B1B"/>
    <w:rsid w:val="00C607FC"/>
    <w:rsid w:val="00C73C6A"/>
    <w:rsid w:val="00C86C25"/>
    <w:rsid w:val="00CA154F"/>
    <w:rsid w:val="00CB02A2"/>
    <w:rsid w:val="00CF3DD9"/>
    <w:rsid w:val="00D264C4"/>
    <w:rsid w:val="00D428D6"/>
    <w:rsid w:val="00D84080"/>
    <w:rsid w:val="00DA12EA"/>
    <w:rsid w:val="00E40954"/>
    <w:rsid w:val="00E527D8"/>
    <w:rsid w:val="00EA1332"/>
    <w:rsid w:val="00EA5452"/>
    <w:rsid w:val="00EA70DA"/>
    <w:rsid w:val="00EB3EBC"/>
    <w:rsid w:val="00F015B8"/>
    <w:rsid w:val="00F645B9"/>
    <w:rsid w:val="00FC5633"/>
    <w:rsid w:val="00FE7730"/>
    <w:rsid w:val="02313354"/>
    <w:rsid w:val="024423C4"/>
    <w:rsid w:val="02671BF7"/>
    <w:rsid w:val="0316364E"/>
    <w:rsid w:val="040850C3"/>
    <w:rsid w:val="044770B2"/>
    <w:rsid w:val="04523DB8"/>
    <w:rsid w:val="04F5786C"/>
    <w:rsid w:val="05C570E8"/>
    <w:rsid w:val="06184EC1"/>
    <w:rsid w:val="07B74904"/>
    <w:rsid w:val="07F3591A"/>
    <w:rsid w:val="08D13137"/>
    <w:rsid w:val="0959584B"/>
    <w:rsid w:val="09E66ED2"/>
    <w:rsid w:val="0ADB3FDF"/>
    <w:rsid w:val="0AE12F9B"/>
    <w:rsid w:val="0C445F4A"/>
    <w:rsid w:val="0CAF6225"/>
    <w:rsid w:val="0CDC1E1E"/>
    <w:rsid w:val="0D3120CE"/>
    <w:rsid w:val="0D782B28"/>
    <w:rsid w:val="0D946657"/>
    <w:rsid w:val="0E094F0A"/>
    <w:rsid w:val="0E77316D"/>
    <w:rsid w:val="0F6F6C10"/>
    <w:rsid w:val="0F9E2ADD"/>
    <w:rsid w:val="103546B6"/>
    <w:rsid w:val="106F3DD8"/>
    <w:rsid w:val="117523D5"/>
    <w:rsid w:val="12AD7BDB"/>
    <w:rsid w:val="15CD7DCC"/>
    <w:rsid w:val="168E01AB"/>
    <w:rsid w:val="17111B0C"/>
    <w:rsid w:val="172B3205"/>
    <w:rsid w:val="176316DB"/>
    <w:rsid w:val="17702E31"/>
    <w:rsid w:val="178258F5"/>
    <w:rsid w:val="18791403"/>
    <w:rsid w:val="18CC1156"/>
    <w:rsid w:val="18F926D9"/>
    <w:rsid w:val="190D1749"/>
    <w:rsid w:val="197605FA"/>
    <w:rsid w:val="1A4B39BB"/>
    <w:rsid w:val="1A653E1C"/>
    <w:rsid w:val="1B26162B"/>
    <w:rsid w:val="1B9D388C"/>
    <w:rsid w:val="1BC76BD4"/>
    <w:rsid w:val="1E1E20D2"/>
    <w:rsid w:val="1EA1737C"/>
    <w:rsid w:val="1EB56195"/>
    <w:rsid w:val="1F4C4200"/>
    <w:rsid w:val="205D5817"/>
    <w:rsid w:val="21EF0DC2"/>
    <w:rsid w:val="22610C1B"/>
    <w:rsid w:val="234C6925"/>
    <w:rsid w:val="23D80F9B"/>
    <w:rsid w:val="23DE5448"/>
    <w:rsid w:val="23F800B3"/>
    <w:rsid w:val="243056A1"/>
    <w:rsid w:val="25312398"/>
    <w:rsid w:val="25BD5B23"/>
    <w:rsid w:val="25F34BD3"/>
    <w:rsid w:val="26DE416C"/>
    <w:rsid w:val="27390113"/>
    <w:rsid w:val="27BD57FB"/>
    <w:rsid w:val="27BE054C"/>
    <w:rsid w:val="281276AA"/>
    <w:rsid w:val="28FC4FC6"/>
    <w:rsid w:val="296A2352"/>
    <w:rsid w:val="2A525CA9"/>
    <w:rsid w:val="2AB8578C"/>
    <w:rsid w:val="2B286A0B"/>
    <w:rsid w:val="2B4B4BD4"/>
    <w:rsid w:val="2B751D34"/>
    <w:rsid w:val="2B756D56"/>
    <w:rsid w:val="2B9474ED"/>
    <w:rsid w:val="2C28712E"/>
    <w:rsid w:val="2C620D55"/>
    <w:rsid w:val="2DA61C57"/>
    <w:rsid w:val="2E736B0E"/>
    <w:rsid w:val="2ECF1DA3"/>
    <w:rsid w:val="2F160B64"/>
    <w:rsid w:val="2F591F99"/>
    <w:rsid w:val="2FE72CCC"/>
    <w:rsid w:val="327849EF"/>
    <w:rsid w:val="338316D3"/>
    <w:rsid w:val="343D137C"/>
    <w:rsid w:val="34DB14BC"/>
    <w:rsid w:val="351957ED"/>
    <w:rsid w:val="35AE7103"/>
    <w:rsid w:val="360719D2"/>
    <w:rsid w:val="37047311"/>
    <w:rsid w:val="373A5911"/>
    <w:rsid w:val="379A0F45"/>
    <w:rsid w:val="37B23299"/>
    <w:rsid w:val="386D3BC3"/>
    <w:rsid w:val="389C0EE1"/>
    <w:rsid w:val="38B22018"/>
    <w:rsid w:val="38D43A13"/>
    <w:rsid w:val="39A35F89"/>
    <w:rsid w:val="3A297A88"/>
    <w:rsid w:val="3A5F7CB0"/>
    <w:rsid w:val="3B1C2FCD"/>
    <w:rsid w:val="3B3B6DF8"/>
    <w:rsid w:val="3BCF58EA"/>
    <w:rsid w:val="3CB83D07"/>
    <w:rsid w:val="3DEC22DB"/>
    <w:rsid w:val="3E19630B"/>
    <w:rsid w:val="3E494859"/>
    <w:rsid w:val="3F3E498D"/>
    <w:rsid w:val="3F764E59"/>
    <w:rsid w:val="3F7D1816"/>
    <w:rsid w:val="40197D69"/>
    <w:rsid w:val="40773E38"/>
    <w:rsid w:val="41473558"/>
    <w:rsid w:val="41510639"/>
    <w:rsid w:val="42732272"/>
    <w:rsid w:val="42A5168A"/>
    <w:rsid w:val="438506F6"/>
    <w:rsid w:val="454C4A39"/>
    <w:rsid w:val="45614AB1"/>
    <w:rsid w:val="463069A0"/>
    <w:rsid w:val="46EF1A47"/>
    <w:rsid w:val="47914BF4"/>
    <w:rsid w:val="47C376E7"/>
    <w:rsid w:val="48646DEF"/>
    <w:rsid w:val="490D14F4"/>
    <w:rsid w:val="490E5D78"/>
    <w:rsid w:val="4A02072C"/>
    <w:rsid w:val="4A3E282A"/>
    <w:rsid w:val="4A546E21"/>
    <w:rsid w:val="4A8C1680"/>
    <w:rsid w:val="4B8378D3"/>
    <w:rsid w:val="4D63663A"/>
    <w:rsid w:val="4F745F83"/>
    <w:rsid w:val="4FE250B3"/>
    <w:rsid w:val="507E2ADE"/>
    <w:rsid w:val="50936960"/>
    <w:rsid w:val="517D5F39"/>
    <w:rsid w:val="520E18AC"/>
    <w:rsid w:val="52136D0A"/>
    <w:rsid w:val="52181816"/>
    <w:rsid w:val="52CE3434"/>
    <w:rsid w:val="538066BD"/>
    <w:rsid w:val="54A57465"/>
    <w:rsid w:val="552F2580"/>
    <w:rsid w:val="55300465"/>
    <w:rsid w:val="55423F4E"/>
    <w:rsid w:val="55464DF3"/>
    <w:rsid w:val="556A5505"/>
    <w:rsid w:val="5571359D"/>
    <w:rsid w:val="55B96904"/>
    <w:rsid w:val="55FD1495"/>
    <w:rsid w:val="561F0E99"/>
    <w:rsid w:val="57075210"/>
    <w:rsid w:val="57395B61"/>
    <w:rsid w:val="582D1BA2"/>
    <w:rsid w:val="59F10F93"/>
    <w:rsid w:val="5A34480A"/>
    <w:rsid w:val="5A4763F3"/>
    <w:rsid w:val="5A4C5D70"/>
    <w:rsid w:val="5B061C74"/>
    <w:rsid w:val="5B9642B7"/>
    <w:rsid w:val="5BDD60F3"/>
    <w:rsid w:val="5C422B9F"/>
    <w:rsid w:val="5CBA3FF0"/>
    <w:rsid w:val="5D052CE5"/>
    <w:rsid w:val="5D6E73AA"/>
    <w:rsid w:val="5D90517C"/>
    <w:rsid w:val="5DD75F7C"/>
    <w:rsid w:val="5E7B43FC"/>
    <w:rsid w:val="5EFF011E"/>
    <w:rsid w:val="601E2160"/>
    <w:rsid w:val="609F7046"/>
    <w:rsid w:val="614C60DF"/>
    <w:rsid w:val="627D3DDC"/>
    <w:rsid w:val="634250FA"/>
    <w:rsid w:val="636F7149"/>
    <w:rsid w:val="640E0FC4"/>
    <w:rsid w:val="64480900"/>
    <w:rsid w:val="654D515E"/>
    <w:rsid w:val="65A91047"/>
    <w:rsid w:val="661565EE"/>
    <w:rsid w:val="66366573"/>
    <w:rsid w:val="667306A8"/>
    <w:rsid w:val="67276265"/>
    <w:rsid w:val="6804744D"/>
    <w:rsid w:val="69274187"/>
    <w:rsid w:val="695828FB"/>
    <w:rsid w:val="6ADA5099"/>
    <w:rsid w:val="6B8C5D1C"/>
    <w:rsid w:val="6BC5084F"/>
    <w:rsid w:val="6BD477EC"/>
    <w:rsid w:val="6CEF600F"/>
    <w:rsid w:val="6DD52C22"/>
    <w:rsid w:val="6E827F52"/>
    <w:rsid w:val="6EC62117"/>
    <w:rsid w:val="6FCE3C4B"/>
    <w:rsid w:val="7083777C"/>
    <w:rsid w:val="71A73A3A"/>
    <w:rsid w:val="71A837F6"/>
    <w:rsid w:val="735A0ECB"/>
    <w:rsid w:val="739A109D"/>
    <w:rsid w:val="7415715D"/>
    <w:rsid w:val="744F372E"/>
    <w:rsid w:val="74DB26A4"/>
    <w:rsid w:val="75030E76"/>
    <w:rsid w:val="75441D6A"/>
    <w:rsid w:val="75902B0D"/>
    <w:rsid w:val="761D2545"/>
    <w:rsid w:val="76782D4F"/>
    <w:rsid w:val="76D94A88"/>
    <w:rsid w:val="777A649B"/>
    <w:rsid w:val="780C0015"/>
    <w:rsid w:val="782E2298"/>
    <w:rsid w:val="7869696E"/>
    <w:rsid w:val="78B12BB5"/>
    <w:rsid w:val="78BF3772"/>
    <w:rsid w:val="78D1706D"/>
    <w:rsid w:val="79EB490D"/>
    <w:rsid w:val="7A0151B4"/>
    <w:rsid w:val="7A372269"/>
    <w:rsid w:val="7AB02F7C"/>
    <w:rsid w:val="7AD6108C"/>
    <w:rsid w:val="7B6F75BE"/>
    <w:rsid w:val="7D2B6D03"/>
    <w:rsid w:val="7D772168"/>
    <w:rsid w:val="7D7D52DA"/>
    <w:rsid w:val="7D8255E9"/>
    <w:rsid w:val="7D960784"/>
    <w:rsid w:val="7DC32556"/>
    <w:rsid w:val="7E1B7369"/>
    <w:rsid w:val="7E5C07A9"/>
    <w:rsid w:val="7E652938"/>
    <w:rsid w:val="7FB54320"/>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line="240" w:lineRule="exact"/>
    </w:pPr>
    <w:rPr>
      <w:sz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uiPriority w:val="0"/>
    <w:rPr>
      <w:rFonts w:eastAsia="宋体"/>
      <w:kern w:val="2"/>
      <w:sz w:val="18"/>
      <w:szCs w:val="18"/>
      <w:lang w:val="en-US" w:eastAsia="zh-CN" w:bidi="ar-SA"/>
    </w:rPr>
  </w:style>
  <w:style w:type="character" w:customStyle="1" w:styleId="9">
    <w:name w:val="页眉 字符"/>
    <w:link w:val="5"/>
    <w:qFormat/>
    <w:uiPriority w:val="0"/>
    <w:rPr>
      <w:kern w:val="2"/>
      <w:sz w:val="18"/>
      <w:szCs w:val="18"/>
    </w:rPr>
  </w:style>
  <w:style w:type="paragraph" w:customStyle="1" w:styleId="10">
    <w:name w:val="MTDisplayEquation"/>
    <w:basedOn w:val="1"/>
    <w:next w:val="1"/>
    <w:qFormat/>
    <w:uiPriority w:val="0"/>
    <w:pPr>
      <w:widowControl/>
      <w:tabs>
        <w:tab w:val="center" w:pos="4360"/>
        <w:tab w:val="right" w:pos="8300"/>
      </w:tabs>
      <w:ind w:left="420"/>
    </w:pPr>
    <w:rPr>
      <w:kern w:val="0"/>
      <w:sz w:val="24"/>
    </w:rPr>
  </w:style>
  <w:style w:type="character" w:styleId="11">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Pages>
  <Words>207</Words>
  <Characters>1182</Characters>
  <Lines>9</Lines>
  <Paragraphs>2</Paragraphs>
  <TotalTime>1</TotalTime>
  <ScaleCrop>false</ScaleCrop>
  <LinksUpToDate>false</LinksUpToDate>
  <CharactersWithSpaces>1387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2020-02-26T00:13:00Z</dcterms:created>
  <dc:creator>MC SYSTEM</dc:creator>
  <cp:lastModifiedBy>hp</cp:lastModifiedBy>
  <cp:lastPrinted>2019-11-25T08:04:00Z</cp:lastPrinted>
  <dcterms:modified xsi:type="dcterms:W3CDTF">2020-06-28T09:02:35Z</dcterms:modified>
  <dc:title>直读光谱仪测量中低合金钢中锰含量的测量不确定度评定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