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ascii="楷体" w:hAnsi="楷体" w:eastAsia="楷体"/>
          <w:b/>
          <w:color w:val="000000" w:themeColor="text1"/>
          <w:sz w:val="28"/>
          <w:szCs w:val="28"/>
        </w:rPr>
      </w:pPr>
      <w:r>
        <w:rPr>
          <w:rFonts w:hint="eastAsia" w:ascii="楷体" w:hAnsi="楷体" w:eastAsia="楷体"/>
          <w:color w:val="000000"/>
          <w:sz w:val="28"/>
          <w:szCs w:val="28"/>
        </w:rPr>
        <w:t>合同编号：</w:t>
      </w:r>
      <w:bookmarkStart w:id="0" w:name="合同编号"/>
      <w:r>
        <w:rPr>
          <w:rFonts w:hint="eastAsia" w:ascii="Times New Roman" w:hAnsi="Times New Roman" w:eastAsia="楷体" w:cs="Times New Roman"/>
          <w:b w:val="0"/>
          <w:bCs w:val="0"/>
          <w:color w:val="000000"/>
          <w:sz w:val="21"/>
          <w:szCs w:val="21"/>
        </w:rPr>
        <w:t>0310-2020-E</w:t>
      </w:r>
      <w:bookmarkEnd w:id="0"/>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anchor distT="0" distB="0" distL="0" distR="0" simplePos="0" relativeHeight="251661312" behindDoc="0" locked="0" layoutInCell="1" allowOverlap="1">
            <wp:simplePos x="0" y="0"/>
            <wp:positionH relativeFrom="column">
              <wp:posOffset>1703070</wp:posOffset>
            </wp:positionH>
            <wp:positionV relativeFrom="paragraph">
              <wp:posOffset>0</wp:posOffset>
            </wp:positionV>
            <wp:extent cx="1887220" cy="1887220"/>
            <wp:effectExtent l="19050" t="0" r="0" b="0"/>
            <wp:wrapNone/>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anchor>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u w:val="single"/>
          <w:lang w:eastAsia="zh-CN"/>
        </w:rPr>
      </w:pPr>
      <w:r>
        <w:rPr>
          <w:rFonts w:hint="eastAsia" w:ascii="楷体" w:hAnsi="楷体" w:eastAsia="楷体"/>
          <w:b/>
          <w:color w:val="000000" w:themeColor="text1"/>
          <w:sz w:val="32"/>
          <w:szCs w:val="32"/>
        </w:rPr>
        <w:t>受审核方：</w:t>
      </w:r>
      <w:r>
        <w:rPr>
          <w:rFonts w:hint="eastAsia" w:ascii="楷体" w:hAnsi="楷体" w:eastAsia="楷体"/>
          <w:b/>
          <w:color w:val="000000" w:themeColor="text1"/>
          <w:sz w:val="32"/>
          <w:szCs w:val="32"/>
          <w:u w:val="single"/>
          <w:lang w:eastAsia="zh-CN"/>
        </w:rPr>
        <w:t>浙江澳华机电制造有限公司</w:t>
      </w:r>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50"/>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7"/>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5"/>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50"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8"/>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2"/>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吉洁</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2"/>
            <w:vAlign w:val="center"/>
          </w:tcPr>
          <w:p>
            <w:pPr>
              <w:spacing w:line="240" w:lineRule="exact"/>
              <w:jc w:val="center"/>
              <w:rPr>
                <w:b/>
                <w:color w:val="000000" w:themeColor="text1"/>
                <w:sz w:val="20"/>
                <w:szCs w:val="20"/>
              </w:rPr>
            </w:pPr>
            <w:r>
              <w:rPr>
                <w:rFonts w:hint="eastAsia"/>
                <w:b/>
                <w:color w:val="000000"/>
                <w:sz w:val="20"/>
                <w:szCs w:val="20"/>
              </w:rPr>
              <w:t>2020-N1EMS-3022240</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rFonts w:hint="eastAsia"/>
                <w:b/>
                <w:color w:val="000000" w:themeColor="text1"/>
                <w:sz w:val="20"/>
                <w:szCs w:val="20"/>
                <w:lang w:eastAsia="zh-CN"/>
              </w:rPr>
              <w:t>19.09.01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4" w:type="dxa"/>
            <w:gridSpan w:val="2"/>
            <w:vAlign w:val="center"/>
          </w:tcPr>
          <w:p>
            <w:pPr>
              <w:spacing w:line="240" w:lineRule="exact"/>
              <w:jc w:val="center"/>
              <w:rPr>
                <w:rFonts w:hint="eastAsia" w:eastAsia="宋体"/>
                <w:b/>
                <w:color w:val="000000" w:themeColor="text1"/>
                <w:sz w:val="20"/>
                <w:szCs w:val="20"/>
                <w:lang w:val="en-US" w:eastAsia="zh-CN"/>
              </w:rPr>
            </w:pPr>
          </w:p>
        </w:tc>
        <w:tc>
          <w:tcPr>
            <w:tcW w:w="992" w:type="dxa"/>
            <w:vAlign w:val="center"/>
          </w:tcPr>
          <w:p>
            <w:pPr>
              <w:spacing w:line="240" w:lineRule="exact"/>
              <w:jc w:val="center"/>
              <w:rPr>
                <w:rFonts w:hint="eastAsia" w:eastAsia="宋体"/>
                <w:b/>
                <w:color w:val="000000" w:themeColor="text1"/>
                <w:sz w:val="20"/>
                <w:szCs w:val="20"/>
                <w:lang w:val="en-US" w:eastAsia="zh-CN"/>
              </w:rPr>
            </w:pPr>
          </w:p>
        </w:tc>
        <w:tc>
          <w:tcPr>
            <w:tcW w:w="1216" w:type="dxa"/>
            <w:vAlign w:val="center"/>
          </w:tcPr>
          <w:p>
            <w:pPr>
              <w:spacing w:line="240" w:lineRule="exact"/>
              <w:jc w:val="center"/>
              <w:rPr>
                <w:rFonts w:hint="eastAsia" w:eastAsia="宋体"/>
                <w:b/>
                <w:color w:val="000000" w:themeColor="text1"/>
                <w:sz w:val="20"/>
                <w:szCs w:val="20"/>
                <w:lang w:val="en-US" w:eastAsia="zh-CN"/>
              </w:rPr>
            </w:pPr>
          </w:p>
        </w:tc>
        <w:tc>
          <w:tcPr>
            <w:tcW w:w="3478" w:type="dxa"/>
            <w:gridSpan w:val="2"/>
            <w:vAlign w:val="center"/>
          </w:tcPr>
          <w:p>
            <w:pPr>
              <w:spacing w:line="240" w:lineRule="exact"/>
              <w:jc w:val="center"/>
              <w:rPr>
                <w:rFonts w:hint="default" w:eastAsia="宋体"/>
                <w:b/>
                <w:color w:val="000000"/>
                <w:sz w:val="20"/>
                <w:szCs w:val="20"/>
                <w:lang w:val="en-US" w:eastAsia="zh-CN"/>
              </w:rPr>
            </w:pPr>
          </w:p>
        </w:tc>
        <w:tc>
          <w:tcPr>
            <w:tcW w:w="2333" w:type="dxa"/>
            <w:gridSpan w:val="2"/>
            <w:vAlign w:val="center"/>
          </w:tcPr>
          <w:p>
            <w:pPr>
              <w:spacing w:line="240" w:lineRule="exact"/>
              <w:jc w:val="center"/>
              <w:rPr>
                <w:rFonts w:hint="eastAsia"/>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8"/>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2"/>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rFonts w:hint="eastAsia" w:eastAsia="宋体"/>
                <w:b/>
                <w:color w:val="000000" w:themeColor="text1"/>
                <w:lang w:val="en-US" w:eastAsia="zh-CN"/>
              </w:rPr>
            </w:pPr>
            <w:r>
              <w:rPr>
                <w:rFonts w:hint="eastAsia"/>
                <w:b/>
                <w:color w:val="000000" w:themeColor="text1"/>
                <w:lang w:val="en-US" w:eastAsia="zh-CN"/>
              </w:rPr>
              <w:t>/</w:t>
            </w: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2"/>
            <w:vAlign w:val="center"/>
          </w:tcPr>
          <w:p>
            <w:pPr>
              <w:rPr>
                <w:rFonts w:hint="eastAsia" w:eastAsia="宋体"/>
                <w:b/>
                <w:color w:val="000000" w:themeColor="text1"/>
                <w:lang w:eastAsia="zh-CN"/>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b/>
          <w:color w:val="000000"/>
          <w:sz w:val="20"/>
          <w:szCs w:val="20"/>
          <w:lang w:val="de-DE"/>
        </w:rPr>
      </w:pPr>
      <w:r>
        <w:rPr>
          <w:rFonts w:hint="eastAsia" w:ascii="宋体" w:hAnsi="宋体"/>
          <w:b/>
          <w:color w:val="000000" w:themeColor="text1"/>
          <w:sz w:val="26"/>
          <w:szCs w:val="26"/>
        </w:rPr>
        <w:t>审核准则</w:t>
      </w:r>
    </w:p>
    <w:p>
      <w:pPr>
        <w:spacing w:line="300" w:lineRule="auto"/>
        <w:rPr>
          <w:rFonts w:ascii="宋体"/>
          <w:b/>
          <w:color w:val="000000"/>
          <w:sz w:val="20"/>
          <w:szCs w:val="20"/>
          <w:lang w:val="de-DE"/>
        </w:rPr>
      </w:pP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rPr>
          <w:rFonts w:hint="default" w:ascii="宋体" w:hAnsi="宋体" w:eastAsia="宋体"/>
          <w:b/>
          <w:color w:val="000000" w:themeColor="text1"/>
          <w:spacing w:val="-1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1/0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pStyle w:val="11"/>
        <w:numPr>
          <w:ilvl w:val="0"/>
          <w:numId w:val="1"/>
        </w:numPr>
        <w:ind w:left="-142" w:hanging="709" w:firstLineChars="0"/>
        <w:rPr>
          <w:rFonts w:ascii="宋体" w:hAnsi="宋体"/>
          <w:b/>
          <w:color w:val="000000" w:themeColor="text1"/>
          <w:spacing w:val="-10"/>
          <w:sz w:val="20"/>
          <w:szCs w:val="20"/>
        </w:rPr>
      </w:pPr>
      <w:r>
        <w:rPr>
          <w:rFonts w:hint="eastAsia" w:ascii="宋体" w:hAnsi="宋体" w:cs="Times New Roman"/>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57"/>
        <w:gridCol w:w="943"/>
        <w:gridCol w:w="401"/>
        <w:gridCol w:w="681"/>
        <w:gridCol w:w="1010"/>
        <w:gridCol w:w="311"/>
        <w:gridCol w:w="507"/>
        <w:gridCol w:w="96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792" w:type="dxa"/>
            <w:gridSpan w:val="5"/>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浙江澳华机电制造有限公司</w:t>
            </w:r>
          </w:p>
        </w:tc>
        <w:tc>
          <w:tcPr>
            <w:tcW w:w="1781" w:type="dxa"/>
            <w:gridSpan w:val="3"/>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组织人数</w:t>
            </w:r>
          </w:p>
        </w:tc>
        <w:tc>
          <w:tcPr>
            <w:tcW w:w="1384" w:type="dxa"/>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792" w:type="dxa"/>
            <w:gridSpan w:val="5"/>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asciiTheme="minorEastAsia" w:hAnsiTheme="minorEastAsia" w:eastAsiaTheme="minorEastAsia"/>
                <w:sz w:val="20"/>
              </w:rPr>
              <w:t>浙江省嘉兴市南湖区七星街道永富路158号</w:t>
            </w:r>
          </w:p>
        </w:tc>
        <w:tc>
          <w:tcPr>
            <w:tcW w:w="818" w:type="dxa"/>
            <w:gridSpan w:val="2"/>
            <w:vMerge w:val="restart"/>
            <w:vAlign w:val="center"/>
          </w:tcPr>
          <w:p>
            <w:pPr>
              <w:spacing w:line="280" w:lineRule="exact"/>
              <w:jc w:val="both"/>
              <w:rPr>
                <w:rFonts w:hint="default" w:ascii="Times New Roman" w:hAnsi="Times New Roman" w:cs="Times New Roman"/>
                <w:b/>
                <w:color w:val="000000" w:themeColor="text1"/>
                <w:sz w:val="20"/>
                <w:szCs w:val="20"/>
              </w:rPr>
            </w:pPr>
            <w:r>
              <w:rPr>
                <w:rFonts w:hint="eastAsia" w:ascii="宋体" w:hAnsi="宋体"/>
                <w:b/>
                <w:color w:val="000000"/>
                <w:sz w:val="20"/>
                <w:szCs w:val="20"/>
              </w:rPr>
              <w:t>邮编</w:t>
            </w:r>
          </w:p>
        </w:tc>
        <w:tc>
          <w:tcPr>
            <w:tcW w:w="2347"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314102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经营地址</w:t>
            </w:r>
          </w:p>
        </w:tc>
        <w:tc>
          <w:tcPr>
            <w:tcW w:w="4792" w:type="dxa"/>
            <w:gridSpan w:val="5"/>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asciiTheme="minorEastAsia" w:hAnsiTheme="minorEastAsia" w:eastAsiaTheme="minorEastAsia"/>
                <w:sz w:val="20"/>
              </w:rPr>
              <w:t>浙江省嘉兴市南湖区七星街道永富路158号</w:t>
            </w:r>
          </w:p>
        </w:tc>
        <w:tc>
          <w:tcPr>
            <w:tcW w:w="818" w:type="dxa"/>
            <w:gridSpan w:val="2"/>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color w:val="000000" w:themeColor="text1"/>
                <w:sz w:val="20"/>
                <w:szCs w:val="20"/>
              </w:rPr>
            </w:pPr>
          </w:p>
        </w:tc>
        <w:tc>
          <w:tcPr>
            <w:tcW w:w="2347"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314102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757"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姚家俊</w:t>
            </w:r>
          </w:p>
        </w:tc>
        <w:tc>
          <w:tcPr>
            <w:tcW w:w="1344"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1691"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sz w:val="21"/>
                <w:szCs w:val="21"/>
              </w:rPr>
              <w:t>0573-83888012</w:t>
            </w:r>
          </w:p>
        </w:tc>
        <w:tc>
          <w:tcPr>
            <w:tcW w:w="818" w:type="dxa"/>
            <w:gridSpan w:val="2"/>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bookmarkStart w:id="5" w:name="联系人传真"/>
            <w:bookmarkEnd w:id="5"/>
            <w:r>
              <w:rPr>
                <w:rFonts w:hint="eastAsia" w:ascii="宋体" w:hAnsi="宋体"/>
                <w:b/>
                <w:color w:val="000000"/>
                <w:sz w:val="20"/>
                <w:szCs w:val="20"/>
              </w:rPr>
              <w:t>传真</w:t>
            </w:r>
          </w:p>
        </w:tc>
        <w:tc>
          <w:tcPr>
            <w:tcW w:w="2347" w:type="dxa"/>
            <w:gridSpan w:val="2"/>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r>
              <w:rPr>
                <w:rFonts w:hint="eastAsia"/>
                <w:sz w:val="21"/>
                <w:szCs w:val="21"/>
              </w:rPr>
              <w:t>0573-83889443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757" w:type="dxa"/>
            <w:vAlign w:val="center"/>
          </w:tcPr>
          <w:p>
            <w:pPr>
              <w:jc w:val="both"/>
              <w:rPr>
                <w:rFonts w:hint="default" w:ascii="宋体" w:hAnsi="Times New Roman" w:eastAsia="宋体" w:cs="Times New Roman"/>
                <w:b/>
                <w:color w:val="000000"/>
                <w:kern w:val="2"/>
                <w:sz w:val="20"/>
                <w:szCs w:val="20"/>
                <w:lang w:val="en-US" w:eastAsia="zh-CN" w:bidi="ar-SA"/>
              </w:rPr>
            </w:pPr>
            <w:r>
              <w:rPr>
                <w:rFonts w:hint="eastAsia"/>
              </w:rPr>
              <w:t>陆慧</w:t>
            </w:r>
          </w:p>
        </w:tc>
        <w:tc>
          <w:tcPr>
            <w:tcW w:w="1344" w:type="dxa"/>
            <w:gridSpan w:val="2"/>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1691" w:type="dxa"/>
            <w:gridSpan w:val="2"/>
            <w:vAlign w:val="center"/>
          </w:tcPr>
          <w:p>
            <w:pPr>
              <w:jc w:val="both"/>
              <w:rPr>
                <w:rFonts w:hint="default" w:ascii="宋体" w:hAnsi="Times New Roman" w:eastAsia="宋体" w:cs="Times New Roman"/>
                <w:b/>
                <w:color w:val="000000"/>
                <w:kern w:val="2"/>
                <w:sz w:val="20"/>
                <w:szCs w:val="20"/>
                <w:lang w:val="en-US" w:eastAsia="zh-CN" w:bidi="ar-SA"/>
              </w:rPr>
            </w:pPr>
            <w:bookmarkStart w:id="6" w:name="最高管理者"/>
            <w:bookmarkEnd w:id="6"/>
            <w:r>
              <w:rPr>
                <w:rFonts w:hint="eastAsia"/>
              </w:rPr>
              <w:t>宋玮</w:t>
            </w:r>
          </w:p>
        </w:tc>
        <w:tc>
          <w:tcPr>
            <w:tcW w:w="818" w:type="dxa"/>
            <w:gridSpan w:val="2"/>
            <w:vAlign w:val="top"/>
          </w:tcPr>
          <w:p>
            <w:pPr>
              <w:jc w:val="center"/>
              <w:rPr>
                <w:rFonts w:hint="default"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2347" w:type="dxa"/>
            <w:gridSpan w:val="2"/>
            <w:vAlign w:val="top"/>
          </w:tcPr>
          <w:p>
            <w:pPr>
              <w:rPr>
                <w:rFonts w:hint="default" w:ascii="宋体" w:hAnsi="Times New Roman" w:eastAsia="宋体" w:cs="Times New Roman"/>
                <w:b/>
                <w:color w:val="000000"/>
                <w:kern w:val="2"/>
                <w:sz w:val="20"/>
                <w:szCs w:val="20"/>
                <w:lang w:val="en-US" w:eastAsia="zh-CN" w:bidi="ar-SA"/>
              </w:rPr>
            </w:pPr>
            <w:r>
              <w:rPr>
                <w:rFonts w:hint="eastAsia"/>
                <w:sz w:val="21"/>
                <w:szCs w:val="21"/>
              </w:rPr>
              <w:t>jxbyq012@163.com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申请的产品/</w:t>
            </w:r>
          </w:p>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9"/>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0"/>
                <w:szCs w:val="20"/>
                <w:u w:val="single"/>
              </w:rPr>
            </w:pPr>
            <w:bookmarkStart w:id="7" w:name="审核范围"/>
            <w:r>
              <w:rPr>
                <w:rFonts w:hint="eastAsia" w:ascii="宋体" w:hAnsi="宋体"/>
                <w:sz w:val="20"/>
                <w:szCs w:val="20"/>
                <w:lang w:eastAsia="zh-CN"/>
              </w:rPr>
              <w:t>变压器</w:t>
            </w:r>
            <w:r>
              <w:rPr>
                <w:rFonts w:hint="eastAsia" w:ascii="宋体" w:hAnsi="宋体"/>
                <w:sz w:val="20"/>
                <w:szCs w:val="20"/>
              </w:rPr>
              <w:t>的生产所涉及的相关环境管理活动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782" w:type="dxa"/>
            <w:gridSpan w:val="4"/>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19.09.01</w:t>
            </w:r>
          </w:p>
        </w:tc>
        <w:tc>
          <w:tcPr>
            <w:tcW w:w="1828"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2347"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8"/>
                <w:sz w:val="20"/>
                <w:szCs w:val="20"/>
              </w:rPr>
            </w:pPr>
            <w:r>
              <w:rPr>
                <w:rFonts w:hint="eastAsia" w:ascii="宋体" w:hAnsi="宋体"/>
                <w:b/>
                <w:color w:val="000000" w:themeColor="text1"/>
                <w:spacing w:val="-8"/>
                <w:sz w:val="20"/>
                <w:szCs w:val="20"/>
              </w:rPr>
              <w:t>体系实施时间</w:t>
            </w:r>
          </w:p>
        </w:tc>
        <w:tc>
          <w:tcPr>
            <w:tcW w:w="2700" w:type="dxa"/>
            <w:gridSpan w:val="2"/>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b/>
                <w:color w:val="000000" w:themeColor="text1"/>
                <w:sz w:val="20"/>
                <w:szCs w:val="20"/>
              </w:rPr>
            </w:pPr>
            <w:bookmarkStart w:id="8" w:name="体系运行时间"/>
            <w:bookmarkEnd w:id="8"/>
            <w:r>
              <w:rPr>
                <w:rFonts w:hint="eastAsia" w:ascii="宋体"/>
                <w:b/>
                <w:color w:val="000000"/>
                <w:sz w:val="20"/>
                <w:szCs w:val="20"/>
                <w:lang w:val="en-US" w:eastAsia="zh-CN"/>
              </w:rPr>
              <w:t>2020年3月20日</w:t>
            </w:r>
          </w:p>
        </w:tc>
        <w:tc>
          <w:tcPr>
            <w:tcW w:w="2403" w:type="dxa"/>
            <w:gridSpan w:val="4"/>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9"/>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b/>
                <w:color w:val="000000" w:themeColor="text1"/>
                <w:spacing w:val="-20"/>
                <w:sz w:val="20"/>
                <w:szCs w:val="20"/>
                <w:lang w:val="en-US" w:eastAsia="zh-CN"/>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r>
              <w:rPr>
                <w:rFonts w:hint="eastAsia" w:ascii="宋体" w:hAnsi="宋体"/>
                <w:b/>
                <w:color w:val="000000" w:themeColor="text1"/>
                <w:spacing w:val="-2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无</w:t>
            </w:r>
          </w:p>
        </w:tc>
      </w:tr>
    </w:tbl>
    <w:p>
      <w:pPr>
        <w:ind w:left="-1" w:leftChars="-337" w:hanging="707" w:hangingChars="271"/>
        <w:rPr>
          <w:rFonts w:hint="eastAsia" w:ascii="宋体" w:hAnsi="宋体" w:eastAsia="宋体"/>
          <w:b/>
          <w:color w:val="000000" w:themeColor="text1"/>
          <w:sz w:val="16"/>
          <w:szCs w:val="16"/>
          <w:lang w:eastAsia="zh-CN"/>
        </w:rPr>
      </w:pPr>
      <w:r>
        <w:rPr>
          <w:rFonts w:hint="eastAsia" w:ascii="宋体" w:hAnsi="宋体"/>
          <w:b/>
          <w:color w:val="000000" w:themeColor="text1"/>
          <w:sz w:val="26"/>
          <w:szCs w:val="26"/>
        </w:rPr>
        <w:t>五、审核活动综述</w:t>
      </w:r>
      <w:r>
        <w:rPr>
          <w:rFonts w:hint="eastAsia" w:ascii="宋体" w:hAnsi="宋体"/>
          <w:b/>
          <w:color w:val="000000" w:themeColor="text1"/>
          <w:sz w:val="26"/>
          <w:szCs w:val="26"/>
          <w:lang w:eastAsia="zh-CN"/>
        </w:rPr>
        <w:t>（</w:t>
      </w:r>
      <w:r>
        <w:rPr>
          <w:rFonts w:hint="eastAsia" w:ascii="宋体" w:hAnsi="宋体"/>
          <w:b/>
          <w:color w:val="000000" w:themeColor="text1"/>
          <w:sz w:val="26"/>
          <w:szCs w:val="26"/>
          <w:lang w:val="en-US" w:eastAsia="zh-CN"/>
        </w:rPr>
        <w:t>远程审核</w:t>
      </w:r>
      <w:r>
        <w:rPr>
          <w:rFonts w:hint="eastAsia" w:ascii="宋体" w:hAnsi="宋体"/>
          <w:b/>
          <w:color w:val="000000" w:themeColor="text1"/>
          <w:sz w:val="26"/>
          <w:szCs w:val="26"/>
          <w:lang w:eastAsia="zh-CN"/>
        </w:rPr>
        <w:t>）</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z w:val="20"/>
                <w:szCs w:val="20"/>
              </w:rPr>
              <w:t>部门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rPr>
              <w:t>4.1</w:t>
            </w:r>
            <w:r>
              <w:rPr>
                <w:rFonts w:hint="eastAsia"/>
                <w:sz w:val="21"/>
                <w:szCs w:val="21"/>
                <w:lang w:val="en-US" w:eastAsia="zh-CN"/>
              </w:rPr>
              <w:t>/4.2/4.3/4.4/5.1/5.2/5.3/6.1/6.2/7.1/9.1.1/9.3/10.1/10.3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质检部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lang w:val="en-US" w:eastAsia="zh-CN"/>
              </w:rPr>
            </w:pPr>
            <w:r>
              <w:rPr>
                <w:rFonts w:hint="eastAsia"/>
                <w:sz w:val="21"/>
                <w:szCs w:val="21"/>
                <w:lang w:val="en-US" w:eastAsia="zh-CN"/>
              </w:rPr>
              <w:t>5.3/6.1.2/6.2/8.1/8.2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r>
              <w:rPr>
                <w:rFonts w:hint="eastAsia"/>
                <w:sz w:val="21"/>
                <w:szCs w:val="21"/>
                <w:lang w:val="en-US" w:eastAsia="zh-CN"/>
              </w:rPr>
              <w:t>5.3/7.2/7.3/7.4/7.5/8.2/9.2/6.1.2/6.1.3/6.2/8.1/9.1.2/10.2</w:t>
            </w:r>
          </w:p>
        </w:tc>
      </w:tr>
    </w:tbl>
    <w:p>
      <w:pPr>
        <w:ind w:left="-137" w:leftChars="-337" w:hanging="571" w:hangingChars="271"/>
        <w:rPr>
          <w:rFonts w:hAnsi="宋体"/>
          <w:b/>
          <w:color w:val="000000" w:themeColor="text1"/>
          <w:sz w:val="16"/>
          <w:szCs w:val="16"/>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职能或过程</w:t>
            </w: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w:t>
            </w:r>
          </w:p>
        </w:tc>
        <w:tc>
          <w:tcPr>
            <w:tcW w:w="32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c>
          <w:tcPr>
            <w:tcW w:w="35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themeColor="text1"/>
                <w:spacing w:val="-20"/>
                <w:sz w:val="20"/>
                <w:szCs w:val="20"/>
                <w:u w:val="single"/>
              </w:rPr>
            </w:pPr>
          </w:p>
        </w:tc>
      </w:tr>
    </w:tbl>
    <w:p>
      <w:pPr>
        <w:ind w:left="-169" w:leftChars="-337" w:hanging="539" w:hangingChars="271"/>
        <w:rPr>
          <w:b/>
          <w:color w:val="000000" w:themeColor="text1"/>
          <w:szCs w:val="21"/>
          <w:u w:val="single"/>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8"/>
        <w:tblW w:w="9919"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1"/>
        <w:gridCol w:w="1536"/>
        <w:gridCol w:w="1349"/>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产品名称/服务名称</w:t>
            </w:r>
          </w:p>
        </w:tc>
        <w:tc>
          <w:tcPr>
            <w:tcW w:w="153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型号/服务类型</w:t>
            </w:r>
          </w:p>
        </w:tc>
        <w:tc>
          <w:tcPr>
            <w:tcW w:w="134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规格</w:t>
            </w:r>
          </w:p>
        </w:tc>
        <w:tc>
          <w:tcPr>
            <w:tcW w:w="3543"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sz w:val="20"/>
                <w:szCs w:val="20"/>
                <w:lang w:eastAsia="zh-CN"/>
              </w:rPr>
              <w:t>变压器</w:t>
            </w:r>
            <w:r>
              <w:rPr>
                <w:rFonts w:hint="eastAsia" w:ascii="宋体" w:hAnsi="宋体"/>
                <w:sz w:val="20"/>
                <w:szCs w:val="20"/>
              </w:rPr>
              <w:t>的生产</w:t>
            </w:r>
          </w:p>
        </w:tc>
        <w:tc>
          <w:tcPr>
            <w:tcW w:w="1536"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w:t>
            </w:r>
          </w:p>
        </w:tc>
        <w:tc>
          <w:tcPr>
            <w:tcW w:w="3543" w:type="dxa"/>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9" w:name="OLE_LINK1"/>
      <w:r>
        <w:rPr>
          <w:rFonts w:hint="eastAsia"/>
          <w:b/>
          <w:color w:val="000000" w:themeColor="text1"/>
          <w:spacing w:val="-10"/>
          <w:szCs w:val="21"/>
          <w:lang w:val="en-US" w:eastAsia="zh-CN"/>
        </w:rPr>
        <w:t>20</w:t>
      </w:r>
      <w:r>
        <w:rPr>
          <w:rFonts w:hint="eastAsia"/>
          <w:b/>
          <w:color w:val="000000" w:themeColor="text1"/>
          <w:spacing w:val="-10"/>
          <w:szCs w:val="21"/>
        </w:rPr>
        <w:t>日</w:t>
      </w:r>
      <w:bookmarkEnd w:id="9"/>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11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国际、国内、地区和当地的各种法律法规、技术、竞争、市场、文化、社会和经济因素；内部条件：公司的价值观、产品和服务、战略方向、文化与能力；周边环境：气候、空气和水质量、土地使用、现存污染、资源的可获得性等相关因素</w:t>
            </w:r>
            <w:r>
              <w:rPr>
                <w:rFonts w:hint="eastAsia"/>
                <w:lang w:eastAsia="zh-CN"/>
              </w:rPr>
              <w:t>；</w:t>
            </w:r>
            <w:r>
              <w:rPr>
                <w:rFonts w:hint="eastAsia"/>
              </w:rPr>
              <w:t>对这些内外部因素通过定期的网站获取、顾客沟通及定期（周总结会议、月中、月末总结会议）内部总结等方式进行监视和评审</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相关方需求和期望识别情况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rPr>
              <w:t>公司确定了与</w:t>
            </w:r>
            <w:r>
              <w:rPr>
                <w:rFonts w:hint="eastAsia"/>
                <w:lang w:eastAsia="zh-CN"/>
              </w:rPr>
              <w:t>环境</w:t>
            </w:r>
            <w:r>
              <w:rPr>
                <w:rFonts w:hint="eastAsia"/>
              </w:rPr>
              <w:t>管理体系有关的相关方包括股东、政府机构、顾客、</w:t>
            </w:r>
            <w:r>
              <w:rPr>
                <w:rFonts w:hint="eastAsia"/>
                <w:lang w:val="en-US" w:eastAsia="zh-CN"/>
              </w:rPr>
              <w:t>供方</w:t>
            </w:r>
            <w:r>
              <w:rPr>
                <w:rFonts w:hint="eastAsia"/>
              </w:rPr>
              <w:t>、内部员工等。相关方对企业的要求有：遵守国家的现行法律法规、产品节能环保，对环境无重大污染以及不断提高</w:t>
            </w:r>
            <w:r>
              <w:rPr>
                <w:rFonts w:hint="eastAsia"/>
                <w:lang w:val="en-US" w:eastAsia="zh-CN"/>
              </w:rPr>
              <w:t>相关方</w:t>
            </w:r>
            <w:r>
              <w:rPr>
                <w:rFonts w:hint="eastAsia"/>
              </w:rPr>
              <w:t>满意度等。</w:t>
            </w:r>
            <w:r>
              <w:rPr>
                <w:rFonts w:hint="eastAsia"/>
                <w:lang w:val="en-US" w:eastAsia="zh-CN"/>
              </w:rPr>
              <w:t>公司通过</w:t>
            </w:r>
            <w:r>
              <w:rPr>
                <w:rFonts w:hint="eastAsia"/>
              </w:rPr>
              <w:t>遵守国家和地方各项法律法规，履行合规义务</w:t>
            </w:r>
            <w:r>
              <w:rPr>
                <w:rFonts w:hint="eastAsia"/>
                <w:lang w:eastAsia="zh-CN"/>
              </w:rPr>
              <w:t>；</w:t>
            </w:r>
            <w:r>
              <w:rPr>
                <w:rFonts w:hint="eastAsia"/>
              </w:rPr>
              <w:t>以下行为满足相关方需求和期望：持续改进管理体系过程，提升</w:t>
            </w:r>
            <w:r>
              <w:rPr>
                <w:rFonts w:hint="eastAsia"/>
                <w:lang w:val="en-US" w:eastAsia="zh-CN"/>
              </w:rPr>
              <w:t>环境</w:t>
            </w:r>
            <w:r>
              <w:rPr>
                <w:rFonts w:hint="eastAsia"/>
              </w:rPr>
              <w:t>绩效</w:t>
            </w:r>
            <w:r>
              <w:rPr>
                <w:rFonts w:hint="eastAsia"/>
                <w:lang w:val="en-US" w:eastAsia="zh-CN"/>
              </w:rPr>
              <w:t>等，</w:t>
            </w:r>
            <w:r>
              <w:rPr>
                <w:rFonts w:hint="eastAsia"/>
              </w:rPr>
              <w:t>公司管理层及相关部门将持续关注相关方需求的变化，通过评估风险和机遇，调整管理体系目标和指标或变更管理过程以适应这些变化或实现改进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rFonts w:ascii="宋体" w:hAnsi="宋体"/>
                <w:b/>
                <w:color w:val="000000" w:themeColor="text1"/>
                <w:sz w:val="20"/>
                <w:szCs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lang w:eastAsia="zh-CN"/>
              </w:rPr>
              <w:t>☑</w:t>
            </w:r>
            <w:r>
              <w:rPr>
                <w:rFonts w:hint="eastAsia" w:ascii="宋体" w:hAnsi="宋体"/>
                <w:b/>
                <w:color w:val="000000" w:themeColor="text1"/>
                <w:sz w:val="20"/>
                <w:szCs w:val="20"/>
              </w:rPr>
              <w:t>环境/</w:t>
            </w:r>
            <w:r>
              <w:rPr>
                <w:rFonts w:hint="eastAsia"/>
                <w:b/>
                <w:color w:val="000000" w:themeColor="text1"/>
                <w:spacing w:val="-10"/>
                <w:sz w:val="20"/>
                <w:szCs w:val="20"/>
                <w:lang w:eastAsia="zh-CN"/>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cs="宋体"/>
              </w:rPr>
            </w:pPr>
            <w:r>
              <w:t>1.</w:t>
            </w:r>
            <w:r>
              <w:rPr>
                <w:rFonts w:hint="eastAsia"/>
                <w:lang w:val="en-US" w:eastAsia="zh-CN"/>
              </w:rPr>
              <w:t xml:space="preserve"> </w:t>
            </w:r>
            <w:r>
              <w:rPr>
                <w:rFonts w:hint="eastAsia" w:cs="宋体"/>
              </w:rPr>
              <w:t>管理方针：</w:t>
            </w:r>
          </w:p>
          <w:p>
            <w:pPr>
              <w:rPr>
                <w:rFonts w:hint="eastAsia"/>
                <w:sz w:val="21"/>
                <w:szCs w:val="21"/>
                <w:lang w:val="en-US" w:eastAsia="zh-CN"/>
              </w:rPr>
            </w:pPr>
            <w:r>
              <w:rPr>
                <w:rFonts w:hint="eastAsia"/>
                <w:sz w:val="21"/>
                <w:szCs w:val="21"/>
              </w:rPr>
              <w:t>节能降耗，防治污染，保护环境</w:t>
            </w:r>
            <w:r>
              <w:rPr>
                <w:rFonts w:hint="eastAsia"/>
                <w:sz w:val="21"/>
                <w:szCs w:val="21"/>
                <w:lang w:eastAsia="zh-CN"/>
              </w:rPr>
              <w:t>，</w:t>
            </w:r>
            <w:r>
              <w:rPr>
                <w:rFonts w:hint="eastAsia"/>
                <w:sz w:val="21"/>
                <w:szCs w:val="21"/>
                <w:lang w:val="en-US" w:eastAsia="zh-CN"/>
              </w:rPr>
              <w:t>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pacing w:val="-8"/>
                <w:sz w:val="20"/>
                <w:szCs w:val="20"/>
              </w:rPr>
            </w:pPr>
            <w:r>
              <w:rPr>
                <w:rFonts w:hint="eastAsia"/>
                <w:b/>
                <w:color w:val="000000" w:themeColor="text1"/>
                <w:sz w:val="20"/>
                <w:szCs w:val="20"/>
                <w:lang w:val="en-US" w:eastAsia="zh-CN"/>
              </w:rPr>
              <w:t>4</w:t>
            </w:r>
            <w:r>
              <w:rPr>
                <w:rFonts w:hint="eastAsia"/>
                <w:b/>
                <w:color w:val="000000" w:themeColor="text1"/>
                <w:sz w:val="20"/>
                <w:szCs w:val="20"/>
              </w:rPr>
              <w:t xml:space="preserve">.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ascii="宋体" w:hAnsi="宋体"/>
                <w:sz w:val="21"/>
                <w:szCs w:val="21"/>
                <w:lang w:val="en-US" w:eastAsia="zh-CN"/>
              </w:rPr>
              <w:t>行政部组织全体部门对所涉及的环境因素进行识别，并评价出重要环境因素，提供环境因素评价记录，目前环境因素识别基本完整，评价的重要环境因素有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废气的排放、噪声排放</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Cs w:val="21"/>
              </w:rPr>
            </w:pPr>
            <w:r>
              <w:rPr>
                <w:rFonts w:hint="eastAsia"/>
                <w:b/>
                <w:color w:val="000000" w:themeColor="text1"/>
                <w:szCs w:val="21"/>
                <w:lang w:val="en-US" w:eastAsia="zh-CN"/>
              </w:rPr>
              <w:t>5</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w:t>
            </w:r>
            <w:r>
              <w:rPr>
                <w:rFonts w:hint="eastAsia" w:ascii="宋体" w:hAnsi="宋体"/>
                <w:b/>
                <w:color w:val="000000" w:themeColor="text1"/>
                <w:szCs w:val="21"/>
                <w:lang w:eastAsia="zh-CN"/>
              </w:rPr>
              <w:t>☑</w:t>
            </w:r>
            <w:r>
              <w:rPr>
                <w:rFonts w:hint="eastAsia" w:ascii="宋体" w:hAnsi="宋体"/>
                <w:b/>
                <w:color w:val="000000" w:themeColor="text1"/>
                <w:szCs w:val="21"/>
              </w:rPr>
              <w:t>环境因素</w:t>
            </w:r>
            <w:r>
              <w:rPr>
                <w:rFonts w:hint="eastAsia" w:ascii="宋体" w:hAnsi="宋体"/>
                <w:b/>
                <w:color w:val="000000" w:themeColor="text1"/>
                <w:szCs w:val="21"/>
                <w:lang w:eastAsia="zh-CN"/>
              </w:rPr>
              <w:t>□</w:t>
            </w:r>
            <w:r>
              <w:rPr>
                <w:rFonts w:hint="eastAsia" w:ascii="宋体" w:hAnsi="宋体"/>
                <w:b/>
                <w:color w:val="000000" w:themeColor="text1"/>
                <w:szCs w:val="21"/>
              </w:rPr>
              <w:t>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1"/>
              <w:keepNext w:val="0"/>
              <w:keepLines w:val="0"/>
              <w:pageBreakBefore w:val="0"/>
              <w:numPr>
                <w:ilvl w:val="0"/>
                <w:numId w:val="3"/>
              </w:numPr>
              <w:tabs>
                <w:tab w:val="left" w:pos="540"/>
              </w:tabs>
              <w:kinsoku/>
              <w:wordWrap/>
              <w:overflowPunct/>
              <w:topLinePunct w:val="0"/>
              <w:autoSpaceDE/>
              <w:autoSpaceDN/>
              <w:bidi w:val="0"/>
              <w:adjustRightInd/>
              <w:snapToGrid/>
              <w:spacing w:line="360" w:lineRule="exact"/>
              <w:ind w:firstLineChars="0"/>
              <w:textAlignment w:val="auto"/>
              <w:rPr>
                <w:b/>
                <w:color w:val="000000" w:themeColor="text1"/>
                <w:sz w:val="2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Cs w:val="21"/>
                <w:lang w:val="en-US" w:eastAsia="zh-CN"/>
              </w:rPr>
              <w:t>6</w:t>
            </w:r>
            <w:r>
              <w:rPr>
                <w:rFonts w:hint="eastAsia"/>
                <w:b/>
                <w:color w:val="000000" w:themeColor="text1"/>
                <w:szCs w:val="21"/>
              </w:rPr>
              <w:t xml:space="preserve">. </w:t>
            </w:r>
            <w:r>
              <w:rPr>
                <w:rFonts w:hint="eastAsia" w:ascii="宋体" w:hAnsi="宋体"/>
                <w:b/>
                <w:color w:val="000000" w:themeColor="text1"/>
                <w:szCs w:val="21"/>
              </w:rPr>
              <w:t>目标、方案</w:t>
            </w: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hint="eastAsia" w:cs="宋体"/>
                <w:lang w:eastAsia="zh-CN"/>
              </w:rPr>
            </w:pPr>
            <w:r>
              <w:rPr>
                <w:rFonts w:hint="eastAsia" w:ascii="Times New Roman" w:hAnsi="Times New Roman" w:cs="宋体"/>
              </w:rPr>
              <w:t>公司环境目标</w:t>
            </w:r>
            <w:r>
              <w:rPr>
                <w:rFonts w:hint="eastAsia" w:cs="宋体"/>
                <w:lang w:eastAsia="zh-CN"/>
              </w:rPr>
              <w:t>：</w:t>
            </w:r>
          </w:p>
          <w:p>
            <w:pPr>
              <w:rPr>
                <w:rFonts w:hint="eastAsia"/>
                <w:sz w:val="21"/>
                <w:szCs w:val="21"/>
              </w:rPr>
            </w:pPr>
            <w:r>
              <w:rPr>
                <w:rFonts w:hint="eastAsia"/>
                <w:sz w:val="21"/>
                <w:szCs w:val="21"/>
              </w:rPr>
              <w:t>1）</w:t>
            </w:r>
            <w:r>
              <w:rPr>
                <w:rFonts w:hint="eastAsia"/>
                <w:sz w:val="21"/>
                <w:szCs w:val="21"/>
                <w:lang w:val="en-US" w:eastAsia="zh-CN"/>
              </w:rPr>
              <w:t>固废分类处置，</w:t>
            </w:r>
            <w:r>
              <w:rPr>
                <w:rFonts w:hint="eastAsia"/>
                <w:sz w:val="21"/>
                <w:szCs w:val="21"/>
              </w:rPr>
              <w:t>减少废弃物（生活垃圾、油漆桶、漆包线架等）对环境的影响</w:t>
            </w:r>
          </w:p>
          <w:p>
            <w:pPr>
              <w:rPr>
                <w:rFonts w:hint="eastAsia"/>
                <w:sz w:val="21"/>
                <w:szCs w:val="21"/>
              </w:rPr>
            </w:pPr>
            <w:r>
              <w:rPr>
                <w:rFonts w:hint="eastAsia"/>
                <w:sz w:val="21"/>
                <w:szCs w:val="21"/>
              </w:rPr>
              <w:t>2）杜绝火灾的发生</w:t>
            </w:r>
          </w:p>
          <w:p>
            <w:pPr>
              <w:rPr>
                <w:rFonts w:hint="eastAsia"/>
                <w:sz w:val="21"/>
                <w:szCs w:val="21"/>
              </w:rPr>
            </w:pPr>
            <w:r>
              <w:rPr>
                <w:rFonts w:hint="eastAsia"/>
                <w:sz w:val="21"/>
                <w:szCs w:val="21"/>
              </w:rPr>
              <w:t>3）噪声排放达标率100%</w:t>
            </w:r>
          </w:p>
          <w:p>
            <w:pPr>
              <w:numPr>
                <w:ilvl w:val="0"/>
                <w:numId w:val="4"/>
              </w:numPr>
              <w:rPr>
                <w:rFonts w:hint="eastAsia" w:ascii="Times New Roman" w:hAnsi="Times New Roman" w:cs="宋体"/>
                <w:lang w:eastAsia="zh-CN"/>
              </w:rPr>
            </w:pPr>
            <w:r>
              <w:rPr>
                <w:rFonts w:hint="eastAsia"/>
                <w:sz w:val="21"/>
                <w:szCs w:val="21"/>
              </w:rPr>
              <w:t>废气排放达标率100%。</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rPr>
            </w:pPr>
            <w:r>
              <w:rPr>
                <w:rFonts w:hint="eastAsia" w:ascii="Times New Roman" w:hAnsi="Times New Roman" w:cs="宋体"/>
              </w:rPr>
              <w:t>提供了文件化可分解的目标</w:t>
            </w:r>
            <w:r>
              <w:rPr>
                <w:rFonts w:hint="eastAsia" w:ascii="Times New Roman" w:hAnsi="Times New Roman" w:cs="宋体"/>
                <w:lang w:eastAsia="zh-CN"/>
              </w:rPr>
              <w:t>、指标</w:t>
            </w:r>
            <w:r>
              <w:rPr>
                <w:rFonts w:hint="eastAsia" w:ascii="Times New Roman" w:hAnsi="Times New Roman" w:cs="宋体"/>
              </w:rPr>
              <w:t>，经查问分解到各部门，经查阅建立的</w:t>
            </w:r>
            <w:r>
              <w:rPr>
                <w:rFonts w:hint="eastAsia" w:ascii="Times New Roman" w:hAnsi="Times New Roman" w:cs="宋体"/>
                <w:lang w:eastAsia="zh-CN"/>
              </w:rPr>
              <w:t>管理</w:t>
            </w:r>
            <w:r>
              <w:rPr>
                <w:rFonts w:hint="eastAsia" w:ascii="Times New Roman" w:hAnsi="Times New Roman" w:cs="宋体"/>
              </w:rPr>
              <w:t>目标符合标准要求，在方针的框架下展开，每</w:t>
            </w:r>
            <w:r>
              <w:rPr>
                <w:rFonts w:hint="eastAsia" w:cs="宋体"/>
                <w:lang w:val="en-US" w:eastAsia="zh-CN"/>
              </w:rPr>
              <w:t>季度</w:t>
            </w:r>
            <w:r>
              <w:rPr>
                <w:rFonts w:hint="eastAsia" w:ascii="Times New Roman" w:hAnsi="Times New Roman" w:cs="宋体"/>
              </w:rPr>
              <w:t>考核一次，提供</w:t>
            </w:r>
            <w:r>
              <w:rPr>
                <w:rFonts w:hint="eastAsia" w:ascii="Times New Roman" w:hAnsi="Times New Roman" w:cs="宋体"/>
                <w:lang w:val="en-US" w:eastAsia="zh-CN"/>
              </w:rPr>
              <w:t>20</w:t>
            </w:r>
            <w:r>
              <w:rPr>
                <w:rFonts w:hint="eastAsia" w:cs="宋体"/>
                <w:lang w:val="en-US" w:eastAsia="zh-CN"/>
              </w:rPr>
              <w:t>20</w:t>
            </w:r>
            <w:r>
              <w:rPr>
                <w:rFonts w:hint="eastAsia" w:ascii="Times New Roman" w:hAnsi="Times New Roman" w:cs="宋体"/>
                <w:lang w:val="en-US" w:eastAsia="zh-CN"/>
              </w:rPr>
              <w:t>年目标考核记录</w:t>
            </w:r>
            <w:r>
              <w:rPr>
                <w:rFonts w:hint="eastAsia" w:ascii="Times New Roman" w:hAnsi="Times New Roman" w:cs="宋体"/>
              </w:rPr>
              <w:t>，</w:t>
            </w:r>
            <w:r>
              <w:rPr>
                <w:rFonts w:hint="eastAsia" w:ascii="Times New Roman" w:hAnsi="Times New Roman" w:cs="宋体"/>
                <w:lang w:eastAsia="zh-CN"/>
              </w:rPr>
              <w:t>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b/>
                <w:color w:val="000000" w:themeColor="text1"/>
                <w:sz w:val="20"/>
                <w:szCs w:val="20"/>
                <w:lang w:val="en-US" w:eastAsia="zh-CN"/>
              </w:rPr>
              <w:t>7</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Times New Roman" w:hAnsi="Times New Roman" w:cs="宋体"/>
              </w:rPr>
              <w:t>管理体系文件由</w:t>
            </w:r>
            <w:r>
              <w:rPr>
                <w:rFonts w:hint="eastAsia" w:cs="宋体"/>
                <w:lang w:eastAsia="zh-CN"/>
              </w:rPr>
              <w:t>行政部</w:t>
            </w:r>
            <w:r>
              <w:rPr>
                <w:rFonts w:hint="eastAsia" w:ascii="Times New Roman" w:hAnsi="Times New Roman" w:cs="宋体"/>
              </w:rPr>
              <w:t>组织编写，总经理批准发布实施，</w:t>
            </w:r>
            <w:r>
              <w:rPr>
                <w:rFonts w:hint="eastAsia" w:cs="宋体"/>
                <w:lang w:eastAsia="zh-CN"/>
              </w:rPr>
              <w:t>行政部</w:t>
            </w:r>
            <w:r>
              <w:rPr>
                <w:rFonts w:hint="eastAsia" w:ascii="Times New Roman" w:hAnsi="Times New Roman" w:cs="宋体"/>
              </w:rPr>
              <w:t>打印传阅，公司文件柜存放，电子版本在电脑上，每个人均可查阅。外来文件电子版本在电脑上，每个人均可查阅，产品技术标准打印一套，放于文件柜内该公司人员均可查阅，外来人员查阅需经过总经理批准。记录管理：</w:t>
            </w:r>
            <w:r>
              <w:rPr>
                <w:rFonts w:hint="eastAsia" w:cs="宋体"/>
                <w:lang w:eastAsia="zh-CN"/>
              </w:rPr>
              <w:t>行政部</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cs="宋体"/>
                <w:lang w:eastAsia="zh-CN"/>
              </w:rPr>
              <w:t>行政部</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公司共有员工</w:t>
            </w:r>
            <w:r>
              <w:rPr>
                <w:rFonts w:hint="eastAsia"/>
                <w:sz w:val="21"/>
                <w:szCs w:val="21"/>
                <w:lang w:val="en-US" w:eastAsia="zh-CN"/>
              </w:rPr>
              <w:t>25</w:t>
            </w:r>
            <w:r>
              <w:rPr>
                <w:rFonts w:hint="eastAsia"/>
                <w:sz w:val="21"/>
                <w:szCs w:val="21"/>
              </w:rPr>
              <w:t>人，其中管理人员</w:t>
            </w:r>
            <w:r>
              <w:rPr>
                <w:rFonts w:hint="eastAsia"/>
                <w:sz w:val="21"/>
                <w:szCs w:val="21"/>
                <w:lang w:val="en-US" w:eastAsia="zh-CN"/>
              </w:rPr>
              <w:t>6</w:t>
            </w:r>
            <w:r>
              <w:rPr>
                <w:rFonts w:hint="eastAsia"/>
                <w:sz w:val="21"/>
                <w:szCs w:val="21"/>
              </w:rPr>
              <w:t>人，满足</w:t>
            </w:r>
            <w:r>
              <w:rPr>
                <w:rFonts w:hint="eastAsia"/>
                <w:sz w:val="21"/>
                <w:szCs w:val="21"/>
                <w:lang w:val="en-US" w:eastAsia="zh-CN"/>
              </w:rPr>
              <w:t>生产服务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sz w:val="21"/>
                <w:szCs w:val="21"/>
              </w:rPr>
              <w:t>配备有</w:t>
            </w:r>
            <w:r>
              <w:rPr>
                <w:rFonts w:hint="eastAsia"/>
                <w:sz w:val="21"/>
                <w:szCs w:val="21"/>
                <w:lang w:val="en-US" w:eastAsia="zh-CN"/>
              </w:rPr>
              <w:t>办公室</w:t>
            </w:r>
            <w:r>
              <w:rPr>
                <w:rFonts w:hint="eastAsia"/>
                <w:sz w:val="21"/>
                <w:szCs w:val="21"/>
                <w:lang w:eastAsia="zh-CN"/>
              </w:rPr>
              <w:t>、</w:t>
            </w:r>
            <w:r>
              <w:rPr>
                <w:rFonts w:hint="eastAsia"/>
                <w:sz w:val="21"/>
                <w:szCs w:val="21"/>
                <w:lang w:val="en-US" w:eastAsia="zh-CN"/>
              </w:rPr>
              <w:t>车间</w:t>
            </w:r>
            <w:r>
              <w:rPr>
                <w:rFonts w:hint="eastAsia"/>
                <w:sz w:val="21"/>
                <w:szCs w:val="21"/>
              </w:rPr>
              <w:t>等基础设施，主要设</w:t>
            </w:r>
            <w:r>
              <w:rPr>
                <w:rFonts w:hint="eastAsia"/>
                <w:sz w:val="21"/>
                <w:szCs w:val="21"/>
                <w:lang w:eastAsia="zh-CN"/>
              </w:rPr>
              <w:t>施：</w:t>
            </w:r>
            <w:r>
              <w:rPr>
                <w:rFonts w:hint="eastAsia"/>
                <w:szCs w:val="21"/>
              </w:rPr>
              <w:t>箱绕机、高压自动绕线机、鼓风电热恒温干燥箱、低压绕线机、钻铣机床、数控机床、剪板机真空浸漆设备、液压冲孔机、冲床、电焊机、切割机、折弯机等、压力机</w:t>
            </w:r>
            <w:r>
              <w:rPr>
                <w:rFonts w:hint="eastAsia"/>
                <w:sz w:val="21"/>
                <w:szCs w:val="21"/>
              </w:rPr>
              <w:t>，满足</w:t>
            </w:r>
            <w:r>
              <w:rPr>
                <w:rFonts w:hint="eastAsia"/>
                <w:sz w:val="21"/>
                <w:szCs w:val="21"/>
                <w:lang w:val="en-US" w:eastAsia="zh-CN"/>
              </w:rPr>
              <w:t>生产</w:t>
            </w:r>
            <w:r>
              <w:rPr>
                <w:rFonts w:hint="eastAsia"/>
                <w:sz w:val="21"/>
                <w:szCs w:val="21"/>
                <w:lang w:eastAsia="zh-CN"/>
              </w:rPr>
              <w:t>服务</w:t>
            </w:r>
            <w:r>
              <w:rPr>
                <w:rFonts w:hint="eastAsia"/>
                <w:sz w:val="21"/>
                <w:szCs w:val="21"/>
              </w:rPr>
              <w:t>需求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过程运行环境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val="en-US" w:eastAsia="zh-CN"/>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sz w:val="21"/>
                <w:szCs w:val="21"/>
              </w:rPr>
              <w:t>嘉兴市南湖区七星街道永富路158号</w:t>
            </w:r>
            <w:r>
              <w:rPr>
                <w:rFonts w:hint="eastAsia" w:cs="宋体"/>
                <w:sz w:val="21"/>
                <w:szCs w:val="21"/>
              </w:rPr>
              <w:t>，</w:t>
            </w:r>
            <w:r>
              <w:rPr>
                <w:rFonts w:hint="eastAsia" w:ascii="宋体" w:hAnsi="宋体"/>
                <w:szCs w:val="21"/>
              </w:rPr>
              <w:t>车间3600平米、办公面积800平米</w:t>
            </w:r>
            <w:r>
              <w:rPr>
                <w:rFonts w:hint="eastAsia" w:cs="宋体"/>
                <w:szCs w:val="21"/>
              </w:rPr>
              <w:t>，生产车间1个，办公楼1座</w:t>
            </w:r>
            <w:r>
              <w:rPr>
                <w:rFonts w:hint="eastAsia"/>
                <w:szCs w:val="21"/>
              </w:rPr>
              <w:t>布局合理，场所卫生干净整洁，配有通风设施，工作环境良好</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themeColor="text1"/>
                <w:sz w:val="20"/>
                <w:szCs w:val="20"/>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themeColor="text1"/>
                <w:sz w:val="20"/>
                <w:szCs w:val="20"/>
              </w:rPr>
            </w:pPr>
            <w:r>
              <w:rPr>
                <w:rFonts w:hint="eastAsia" w:ascii="宋体" w:hAnsi="宋体"/>
                <w:b/>
                <w:color w:val="000000" w:themeColor="text1"/>
                <w:sz w:val="20"/>
                <w:szCs w:val="20"/>
              </w:rPr>
              <w:t>知识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b/>
                <w:color w:val="000000" w:themeColor="text1"/>
                <w:sz w:val="20"/>
                <w:szCs w:val="20"/>
                <w:lang w:eastAsia="zh-CN"/>
              </w:rPr>
            </w:pPr>
            <w:r>
              <w:rPr>
                <w:rFonts w:hint="eastAsia"/>
                <w:sz w:val="21"/>
                <w:szCs w:val="21"/>
              </w:rPr>
              <w:t>公司对法律法规及其他要求进行了获取，包括质量法、合同法、环境保护法、劳动法、消防法、环境空气质量标准、固体废弃物环境防治法、仓库防火安全管理规则、</w:t>
            </w:r>
            <w:r>
              <w:rPr>
                <w:rFonts w:hint="eastAsia"/>
                <w:lang w:eastAsia="zh-CN"/>
              </w:rPr>
              <w:t>DB11/501-2007《大气污染物综合排放标准》、GB12348-2008《工业企业厂界环境噪声排放标准》</w:t>
            </w:r>
            <w:r>
              <w:rPr>
                <w:rFonts w:hint="eastAsia" w:ascii="宋体" w:hAnsi="宋体"/>
                <w:sz w:val="21"/>
                <w:szCs w:val="21"/>
                <w:u w:val="none"/>
                <w:lang w:eastAsia="zh-CN"/>
              </w:rPr>
              <w:t>、</w:t>
            </w:r>
            <w:r>
              <w:rPr>
                <w:rFonts w:hint="eastAsia"/>
                <w:sz w:val="21"/>
                <w:szCs w:val="21"/>
              </w:rPr>
              <w:t>GB/T24001-2016《环境管理体系 要求及使用指南》等法规要求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灭火器、警示牌等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 w:val="20"/>
                <w:szCs w:val="20"/>
              </w:rPr>
            </w:pPr>
            <w:r>
              <w:rPr>
                <w:rFonts w:hint="eastAsia"/>
                <w:b/>
                <w:color w:val="000000" w:themeColor="text1"/>
                <w:sz w:val="20"/>
                <w:szCs w:val="20"/>
              </w:rPr>
              <w:t>(三)体系运行情况</w:t>
            </w: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1. 针对方针的管理职责评审（包括针对组织宗旨，制定相关管理方针政策、确保方针为员工理解并在运营中实施，监视方针的实施并评审方针的适宜性）</w:t>
            </w:r>
          </w:p>
          <w:p>
            <w:pPr>
              <w:numPr>
                <w:ilvl w:val="0"/>
                <w:numId w:val="5"/>
              </w:numPr>
              <w:rPr>
                <w:rFonts w:hint="eastAsia" w:cs="宋体"/>
              </w:rPr>
            </w:pPr>
            <w:r>
              <w:rPr>
                <w:rFonts w:hint="eastAsia" w:cs="宋体"/>
              </w:rPr>
              <w:t>管理方针：</w:t>
            </w:r>
          </w:p>
          <w:p>
            <w:pPr>
              <w:rPr>
                <w:rFonts w:hint="eastAsia"/>
                <w:sz w:val="21"/>
                <w:szCs w:val="21"/>
                <w:lang w:val="en-US" w:eastAsia="zh-CN"/>
              </w:rPr>
            </w:pPr>
            <w:r>
              <w:rPr>
                <w:rFonts w:hint="eastAsia"/>
                <w:sz w:val="21"/>
                <w:szCs w:val="21"/>
              </w:rPr>
              <w:t>节能降耗，防治污染，保护环境</w:t>
            </w:r>
            <w:r>
              <w:rPr>
                <w:rFonts w:hint="eastAsia"/>
                <w:sz w:val="21"/>
                <w:szCs w:val="21"/>
                <w:lang w:eastAsia="zh-CN"/>
              </w:rPr>
              <w:t>，</w:t>
            </w:r>
            <w:r>
              <w:rPr>
                <w:rFonts w:hint="eastAsia"/>
                <w:sz w:val="21"/>
                <w:szCs w:val="21"/>
                <w:lang w:val="en-US" w:eastAsia="zh-CN"/>
              </w:rPr>
              <w:t>持续改进</w:t>
            </w:r>
          </w:p>
          <w:p>
            <w:pPr>
              <w:keepNext w:val="0"/>
              <w:keepLines w:val="0"/>
              <w:pageBreakBefore w:val="0"/>
              <w:kinsoku/>
              <w:wordWrap/>
              <w:overflowPunct/>
              <w:topLinePunct w:val="0"/>
              <w:autoSpaceDE/>
              <w:autoSpaceDN/>
              <w:bidi w:val="0"/>
              <w:adjustRightInd/>
              <w:snapToGrid/>
              <w:spacing w:line="360" w:lineRule="exact"/>
              <w:textAlignment w:val="auto"/>
            </w:pPr>
            <w:r>
              <w:t xml:space="preserve">2. </w:t>
            </w:r>
            <w:r>
              <w:rPr>
                <w:rFonts w:hint="eastAsia" w:cs="宋体"/>
              </w:rPr>
              <w:t>管理方针与企业的经营宗旨相适应，协调；</w:t>
            </w:r>
          </w:p>
          <w:p>
            <w:pPr>
              <w:keepNext w:val="0"/>
              <w:keepLines w:val="0"/>
              <w:pageBreakBefore w:val="0"/>
              <w:kinsoku/>
              <w:wordWrap/>
              <w:overflowPunct/>
              <w:topLinePunct w:val="0"/>
              <w:autoSpaceDE/>
              <w:autoSpaceDN/>
              <w:bidi w:val="0"/>
              <w:adjustRightInd/>
              <w:snapToGrid/>
              <w:spacing w:line="360" w:lineRule="exact"/>
              <w:ind w:left="1"/>
              <w:textAlignment w:val="auto"/>
              <w:rPr>
                <w:rFonts w:hint="eastAsia"/>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159" w:hanging="159" w:hangingChars="79"/>
              <w:textAlignment w:val="auto"/>
              <w:rPr>
                <w:rFonts w:ascii="楷体_GB2312" w:eastAsia="楷体_GB2312"/>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文件、会议、电话、面谈等方式进行内部沟通</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szCs w:val="21"/>
              </w:rPr>
              <w:t>沟通较为顺畅</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楷体_GB2312" w:eastAsia="楷体_GB2312"/>
                <w:b/>
                <w:color w:val="000000" w:themeColor="text1"/>
                <w:sz w:val="20"/>
                <w:szCs w:val="20"/>
                <w:lang w:val="en-US" w:eastAsia="zh-CN"/>
              </w:rPr>
              <w:t>与</w:t>
            </w:r>
            <w:r>
              <w:rPr>
                <w:rFonts w:hint="eastAsia" w:ascii="宋体" w:hAnsi="宋体"/>
                <w:szCs w:val="21"/>
              </w:rPr>
              <w:t>上级主管部门的沟通，目前沟通都较为顺畅</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楷体_GB2312" w:eastAsia="楷体_GB2312"/>
                <w:b/>
                <w:color w:val="000000" w:themeColor="text1"/>
                <w:szCs w:val="21"/>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外部沟通：文件、电话、面谈、传真等，主要与顾客、供方、上级主管部门的沟通，目前各项沟通都较为顺畅</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8"/>
                <w:sz w:val="20"/>
                <w:szCs w:val="20"/>
              </w:rPr>
            </w:pPr>
            <w:r>
              <w:rPr>
                <w:rFonts w:hint="eastAsia"/>
                <w:b/>
                <w:color w:val="000000" w:themeColor="text1"/>
                <w:sz w:val="20"/>
                <w:szCs w:val="20"/>
                <w:lang w:val="en-US" w:eastAsia="zh-CN"/>
              </w:rPr>
              <w:t>3</w:t>
            </w:r>
            <w:r>
              <w:rPr>
                <w:rFonts w:hint="eastAsia"/>
                <w:b/>
                <w:color w:val="000000" w:themeColor="text1"/>
                <w:sz w:val="20"/>
                <w:szCs w:val="20"/>
              </w:rPr>
              <w:t xml:space="preserve">. </w:t>
            </w:r>
            <w:r>
              <w:rPr>
                <w:rFonts w:hint="eastAsia"/>
                <w:b/>
                <w:color w:val="000000" w:themeColor="text1"/>
                <w:spacing w:val="-8"/>
                <w:sz w:val="20"/>
                <w:szCs w:val="20"/>
              </w:rPr>
              <w:t>不合格品/项的识别、控制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对于</w:t>
            </w:r>
            <w:r>
              <w:rPr>
                <w:rFonts w:hint="eastAsia"/>
                <w:sz w:val="21"/>
                <w:szCs w:val="21"/>
                <w:lang w:val="en-US" w:eastAsia="zh-CN"/>
              </w:rPr>
              <w:t>日常检查发现</w:t>
            </w:r>
            <w:r>
              <w:rPr>
                <w:rFonts w:hint="eastAsia"/>
                <w:sz w:val="21"/>
                <w:szCs w:val="21"/>
              </w:rPr>
              <w:t>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 EMS组织对重要环境因素实施控制的结果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GB"/>
              </w:rPr>
              <w:t>编制</w:t>
            </w:r>
            <w:r>
              <w:rPr>
                <w:rFonts w:hint="eastAsia"/>
                <w:sz w:val="21"/>
                <w:szCs w:val="21"/>
              </w:rPr>
              <w:t>运行控制程序，固体废弃物管理</w:t>
            </w:r>
            <w:r>
              <w:rPr>
                <w:rFonts w:hint="eastAsia"/>
                <w:sz w:val="21"/>
                <w:szCs w:val="21"/>
                <w:lang w:val="en-US" w:eastAsia="zh-CN"/>
              </w:rPr>
              <w:t>规定</w:t>
            </w:r>
            <w:r>
              <w:rPr>
                <w:rFonts w:hint="eastAsia"/>
                <w:sz w:val="21"/>
                <w:szCs w:val="21"/>
              </w:rPr>
              <w:t>、对相关方施加影响</w:t>
            </w:r>
            <w:r>
              <w:rPr>
                <w:rFonts w:hint="eastAsia"/>
                <w:sz w:val="21"/>
                <w:szCs w:val="21"/>
                <w:lang w:val="en-US" w:eastAsia="zh-CN"/>
              </w:rPr>
              <w:t>管理规定</w:t>
            </w:r>
            <w:r>
              <w:rPr>
                <w:rFonts w:hint="eastAsia"/>
                <w:sz w:val="21"/>
                <w:szCs w:val="21"/>
              </w:rPr>
              <w:t>、节能降耗管理规定</w:t>
            </w:r>
            <w:r>
              <w:rPr>
                <w:rFonts w:hint="eastAsia"/>
                <w:sz w:val="21"/>
                <w:szCs w:val="21"/>
                <w:lang w:eastAsia="zh-CN"/>
              </w:rPr>
              <w:t>、</w:t>
            </w:r>
            <w:r>
              <w:rPr>
                <w:rFonts w:hint="eastAsia"/>
                <w:sz w:val="21"/>
                <w:szCs w:val="21"/>
              </w:rPr>
              <w:t>消防安全管理制度</w:t>
            </w:r>
            <w:r>
              <w:rPr>
                <w:rFonts w:hint="eastAsia"/>
                <w:sz w:val="21"/>
                <w:szCs w:val="21"/>
                <w:lang w:eastAsia="zh-CN"/>
              </w:rPr>
              <w:t>、</w:t>
            </w:r>
            <w:r>
              <w:rPr>
                <w:rFonts w:hint="eastAsia"/>
                <w:sz w:val="21"/>
                <w:szCs w:val="21"/>
                <w:lang w:val="en-US" w:eastAsia="zh-CN"/>
              </w:rPr>
              <w:t>办公室</w:t>
            </w:r>
            <w:r>
              <w:rPr>
                <w:rFonts w:hint="eastAsia"/>
                <w:sz w:val="21"/>
                <w:szCs w:val="21"/>
              </w:rPr>
              <w:t>安全管理制度等，针对各部门所负责的工作，分别对环境运行过程进行控制</w:t>
            </w:r>
            <w:r>
              <w:rPr>
                <w:rFonts w:hint="eastAsia"/>
                <w:sz w:val="21"/>
                <w:szCs w:val="21"/>
                <w:lang w:val="en-GB"/>
              </w:rPr>
              <w:t>，</w:t>
            </w:r>
            <w:r>
              <w:rPr>
                <w:rFonts w:hint="eastAsia"/>
                <w:sz w:val="21"/>
                <w:szCs w:val="21"/>
              </w:rPr>
              <w:t>涉及有固废处置、资源控制、火灾、</w:t>
            </w:r>
            <w:r>
              <w:rPr>
                <w:rFonts w:hint="eastAsia"/>
                <w:sz w:val="21"/>
                <w:szCs w:val="21"/>
                <w:lang w:val="en-US" w:eastAsia="zh-CN"/>
              </w:rPr>
              <w:t>噪声、废气、</w:t>
            </w:r>
            <w:r>
              <w:rPr>
                <w:rFonts w:hint="eastAsia"/>
                <w:sz w:val="21"/>
                <w:szCs w:val="21"/>
              </w:rPr>
              <w:t>相关方施加影响等。</w:t>
            </w:r>
            <w:r>
              <w:rPr>
                <w:rFonts w:hint="eastAsia"/>
                <w:sz w:val="21"/>
                <w:szCs w:val="21"/>
                <w:lang w:val="en-US" w:eastAsia="zh-CN"/>
              </w:rPr>
              <w:t>提供有固废处置记录、相关方告知书及发放记录、环境检测报告。</w:t>
            </w:r>
            <w:r>
              <w:rPr>
                <w:rFonts w:hint="eastAsia"/>
                <w:sz w:val="21"/>
                <w:szCs w:val="21"/>
              </w:rPr>
              <w:t>查看办公区域干净整洁，</w:t>
            </w:r>
            <w:r>
              <w:rPr>
                <w:rFonts w:hint="eastAsia"/>
                <w:sz w:val="21"/>
                <w:szCs w:val="21"/>
                <w:lang w:val="en-US" w:eastAsia="zh-CN"/>
              </w:rPr>
              <w:t>配有灭火器，但未</w:t>
            </w:r>
            <w:r>
              <w:rPr>
                <w:rFonts w:hint="eastAsia"/>
                <w:sz w:val="21"/>
                <w:szCs w:val="21"/>
              </w:rPr>
              <w:t>配置</w:t>
            </w:r>
            <w:r>
              <w:rPr>
                <w:rFonts w:hint="eastAsia"/>
                <w:sz w:val="21"/>
                <w:szCs w:val="21"/>
                <w:lang w:val="en-US" w:eastAsia="zh-CN"/>
              </w:rPr>
              <w:t>固废分类处置装置</w:t>
            </w:r>
            <w:r>
              <w:rPr>
                <w:rFonts w:hint="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ind w:left="201" w:hanging="201" w:hangingChars="100"/>
              <w:textAlignment w:val="auto"/>
              <w:rPr>
                <w:b/>
                <w:color w:val="000000" w:themeColor="text1"/>
                <w:sz w:val="20"/>
                <w:szCs w:val="20"/>
              </w:rPr>
            </w:pPr>
            <w:r>
              <w:rPr>
                <w:rFonts w:hint="eastAsia"/>
                <w:b/>
                <w:color w:val="000000" w:themeColor="text1"/>
                <w:sz w:val="20"/>
                <w:szCs w:val="20"/>
                <w:lang w:val="en-US" w:eastAsia="zh-CN"/>
              </w:rPr>
              <w:t>5</w:t>
            </w:r>
            <w:r>
              <w:rPr>
                <w:rFonts w:hint="eastAsia"/>
                <w:b/>
                <w:color w:val="000000" w:themeColor="text1"/>
                <w:sz w:val="20"/>
                <w:szCs w:val="20"/>
              </w:rPr>
              <w:t xml:space="preserve">. 应急准备与相应活动的演练及对预案可行性的评价(当有规定时) </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4"/>
                <w:sz w:val="20"/>
                <w:szCs w:val="20"/>
              </w:rPr>
            </w:pPr>
            <w:r>
              <w:rPr>
                <w:rFonts w:hint="eastAsia"/>
                <w:sz w:val="21"/>
                <w:szCs w:val="21"/>
                <w:lang w:val="en-GB"/>
              </w:rPr>
              <w:t>编制应急准备和响应控制程序，识别的潜在意外紧急情况为火灾等。编制了应急预案，组织了消防演练，提供了应急预案演练记录。对应急预案进行了评价，可行。</w:t>
            </w:r>
            <w:r>
              <w:rPr>
                <w:rFonts w:hint="eastAsia"/>
                <w:sz w:val="21"/>
                <w:szCs w:val="21"/>
                <w:lang w:val="en-US" w:eastAsia="zh-CN"/>
              </w:rPr>
              <w:t>办公区域、车间</w:t>
            </w:r>
            <w:r>
              <w:rPr>
                <w:rFonts w:hint="eastAsia"/>
                <w:sz w:val="21"/>
                <w:szCs w:val="21"/>
              </w:rPr>
              <w:t>配置灭火器等消防设施</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 xml:space="preserve">. 对特种设备的维护，检定; </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Cs w:val="21"/>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b/>
                <w:color w:val="000000" w:themeColor="text1"/>
                <w:sz w:val="20"/>
                <w:szCs w:val="20"/>
                <w:lang w:val="en-US" w:eastAsia="zh-CN"/>
              </w:rPr>
            </w:pPr>
            <w:r>
              <w:rPr>
                <w:rFonts w:hint="eastAsia"/>
                <w:b/>
                <w:color w:val="000000" w:themeColor="text1"/>
                <w:sz w:val="20"/>
                <w:szCs w:val="20"/>
                <w:lang w:val="en-US" w:eastAsia="zh-CN"/>
              </w:rPr>
              <w:t>7</w:t>
            </w:r>
            <w:r>
              <w:rPr>
                <w:rFonts w:hint="eastAsia"/>
                <w:b/>
                <w:color w:val="000000" w:themeColor="text1"/>
                <w:sz w:val="20"/>
                <w:szCs w:val="20"/>
              </w:rPr>
              <w:t xml:space="preserve"> .对危险化学品销售、使用、储存、运输处置，规定的执行力度(必要时);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right="113"/>
              <w:jc w:val="center"/>
              <w:textAlignment w:val="auto"/>
              <w:rPr>
                <w:b/>
                <w:color w:val="000000" w:themeColor="text1"/>
                <w:szCs w:val="21"/>
              </w:rPr>
            </w:pPr>
            <w:r>
              <w:rPr>
                <w:rFonts w:hint="eastAsia"/>
                <w:b/>
                <w:color w:val="000000" w:themeColor="text1"/>
                <w:szCs w:val="21"/>
              </w:rPr>
              <w:t>(四)监视测量方面</w:t>
            </w:r>
          </w:p>
        </w:tc>
        <w:tc>
          <w:tcPr>
            <w:tcW w:w="9198" w:type="dxa"/>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sz w:val="21"/>
                <w:szCs w:val="21"/>
              </w:rPr>
              <w:t>提供了文件化可分解的目标、指标，经查问分解到各部门，经查阅建立的管理目标符合标准要求，在方针的框架下展开，每</w:t>
            </w:r>
            <w:r>
              <w:rPr>
                <w:rFonts w:hint="eastAsia"/>
                <w:sz w:val="21"/>
                <w:szCs w:val="21"/>
                <w:lang w:val="en-US" w:eastAsia="zh-CN"/>
              </w:rPr>
              <w:t>季度</w:t>
            </w:r>
            <w:r>
              <w:rPr>
                <w:rFonts w:hint="eastAsia"/>
                <w:sz w:val="21"/>
                <w:szCs w:val="21"/>
              </w:rPr>
              <w:t>考核一次，查看20</w:t>
            </w:r>
            <w:r>
              <w:rPr>
                <w:rFonts w:hint="eastAsia"/>
                <w:sz w:val="21"/>
                <w:szCs w:val="21"/>
                <w:lang w:val="en-US" w:eastAsia="zh-CN"/>
              </w:rPr>
              <w:t>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2</w:t>
            </w:r>
            <w:r>
              <w:rPr>
                <w:rFonts w:hint="eastAsia"/>
                <w:b/>
                <w:color w:val="000000" w:themeColor="text1"/>
                <w:sz w:val="20"/>
                <w:szCs w:val="20"/>
              </w:rPr>
              <w:t>.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rPr>
              <w:t>按照策划的安排于</w:t>
            </w:r>
            <w:r>
              <w:t>20</w:t>
            </w:r>
            <w:r>
              <w:rPr>
                <w:rFonts w:hint="eastAsia"/>
                <w:lang w:val="en-US" w:eastAsia="zh-CN"/>
              </w:rPr>
              <w:t>20年4月15-16日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1" w:hRule="atLeast"/>
          <w:jc w:val="center"/>
        </w:trPr>
        <w:tc>
          <w:tcPr>
            <w:tcW w:w="720" w:type="dxa"/>
            <w:vMerge w:val="continue"/>
            <w:textDirection w:val="tbRlV"/>
            <w:vAlign w:val="center"/>
          </w:tcPr>
          <w:p>
            <w:pPr>
              <w:keepNext w:val="0"/>
              <w:keepLines w:val="0"/>
              <w:pageBreakBefore w:val="0"/>
              <w:kinsoku/>
              <w:wordWrap/>
              <w:overflowPunct/>
              <w:topLinePunct w:val="0"/>
              <w:autoSpaceDE/>
              <w:autoSpaceDN/>
              <w:bidi w:val="0"/>
              <w:adjustRightInd/>
              <w:snapToGrid/>
              <w:spacing w:line="360" w:lineRule="exact"/>
              <w:ind w:left="201" w:right="113" w:hanging="201" w:hangingChars="100"/>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3</w:t>
            </w:r>
            <w:r>
              <w:rPr>
                <w:rFonts w:hint="eastAsia"/>
                <w:b/>
                <w:color w:val="000000" w:themeColor="text1"/>
                <w:sz w:val="20"/>
                <w:szCs w:val="20"/>
              </w:rPr>
              <w:t>.管理评审（管理评审体系变更需求，纠正和预防措施、体系有效性等）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eastAsia="zh-CN"/>
              </w:rPr>
            </w:pPr>
            <w:r>
              <w:rPr>
                <w:rFonts w:hint="eastAsia"/>
                <w:sz w:val="21"/>
                <w:szCs w:val="21"/>
              </w:rPr>
              <w:t>按照策划的安排于</w:t>
            </w:r>
            <w:r>
              <w:t>20</w:t>
            </w:r>
            <w:r>
              <w:rPr>
                <w:rFonts w:hint="eastAsia"/>
                <w:lang w:val="en-US" w:eastAsia="zh-CN"/>
              </w:rPr>
              <w:t>20</w:t>
            </w:r>
            <w:r>
              <w:rPr>
                <w:rFonts w:hint="eastAsia" w:cs="宋体"/>
              </w:rPr>
              <w:t>年</w:t>
            </w:r>
            <w:r>
              <w:rPr>
                <w:rFonts w:hint="eastAsia"/>
                <w:lang w:val="en-US" w:eastAsia="zh-CN"/>
              </w:rPr>
              <w:t>5</w:t>
            </w:r>
            <w:r>
              <w:rPr>
                <w:rFonts w:hint="eastAsia" w:cs="宋体"/>
              </w:rPr>
              <w:t>月</w:t>
            </w:r>
            <w:r>
              <w:rPr>
                <w:rFonts w:hint="eastAsia"/>
                <w:lang w:val="en-US" w:eastAsia="zh-CN"/>
              </w:rPr>
              <w:t>13</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4.</w:t>
            </w:r>
            <w:r>
              <w:rPr>
                <w:rFonts w:hint="eastAsia"/>
                <w:b/>
                <w:color w:val="000000" w:themeColor="text1"/>
                <w:sz w:val="20"/>
                <w:szCs w:val="20"/>
              </w:rPr>
              <w:t>EMS是否按规定对主要污染物（污水、废气、噪声、废渣等）及排放实施了例行的监视或测量，结果是否满足相关要求？</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sz w:val="21"/>
                <w:szCs w:val="21"/>
                <w:lang w:val="en-US" w:eastAsia="zh-CN"/>
              </w:rPr>
              <w:t>提供2019年12月6日由嘉兴安联检测技术服务有限公司对噪声、废气、废水的检测，检测结论达标，报告编号：2019-H-534，详见附件.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lang w:val="en-US" w:eastAsia="zh-CN"/>
              </w:rPr>
              <w:t>5.</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cs="Times New Roman"/>
                <w:szCs w:val="22"/>
                <w:lang w:val="en-US" w:eastAsia="zh-CN"/>
              </w:rPr>
              <w:t>提供</w:t>
            </w:r>
            <w:r>
              <w:rPr>
                <w:rFonts w:hint="eastAsia" w:ascii="Times New Roman" w:hAnsi="Times New Roman" w:cs="Times New Roman"/>
                <w:szCs w:val="22"/>
                <w:lang w:val="en-US" w:eastAsia="zh-CN"/>
              </w:rPr>
              <w:t>建设项目环境影响报告</w:t>
            </w:r>
            <w:r>
              <w:rPr>
                <w:rFonts w:hint="eastAsia" w:cs="Times New Roman"/>
                <w:szCs w:val="22"/>
                <w:lang w:val="en-US" w:eastAsia="zh-CN"/>
              </w:rPr>
              <w:t>表</w:t>
            </w:r>
            <w:r>
              <w:rPr>
                <w:rFonts w:hint="eastAsia" w:ascii="Times New Roman" w:hAnsi="Times New Roman" w:cs="Times New Roman"/>
                <w:szCs w:val="22"/>
                <w:lang w:val="en-US" w:eastAsia="zh-CN"/>
              </w:rPr>
              <w:t>、</w:t>
            </w:r>
            <w:r>
              <w:rPr>
                <w:rFonts w:hint="eastAsia" w:cs="Times New Roman"/>
                <w:szCs w:val="22"/>
                <w:lang w:val="en-US" w:eastAsia="zh-CN"/>
              </w:rPr>
              <w:t>环保局审批意见、验收</w:t>
            </w:r>
            <w:r>
              <w:rPr>
                <w:rFonts w:hint="eastAsia" w:ascii="Times New Roman" w:hAnsi="Times New Roman" w:cs="Times New Roman"/>
                <w:szCs w:val="22"/>
                <w:lang w:val="en-US" w:eastAsia="zh-CN"/>
              </w:rPr>
              <w:t>报告、</w:t>
            </w:r>
            <w:r>
              <w:rPr>
                <w:rFonts w:hint="eastAsia" w:cs="Times New Roman"/>
                <w:szCs w:val="22"/>
                <w:lang w:val="en-US" w:eastAsia="zh-CN"/>
              </w:rPr>
              <w:t>环保局验收意见</w:t>
            </w:r>
            <w:r>
              <w:rPr>
                <w:rFonts w:hint="eastAsia" w:cs="Times New Roman"/>
                <w:szCs w:val="22"/>
                <w:lang w:eastAsia="zh-CN"/>
              </w:rPr>
              <w:t>，</w:t>
            </w:r>
            <w:r>
              <w:rPr>
                <w:rFonts w:hint="eastAsia" w:cs="Times New Roman"/>
                <w:szCs w:val="22"/>
                <w:lang w:val="en-US" w:eastAsia="zh-CN"/>
              </w:rPr>
              <w:t>详见附件</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bottom w:val="single" w:color="auto" w:sz="4" w:space="0"/>
            </w:tcBorders>
          </w:tcPr>
          <w:p>
            <w:pPr>
              <w:keepNext w:val="0"/>
              <w:keepLines w:val="0"/>
              <w:pageBreakBefore w:val="0"/>
              <w:widowControl/>
              <w:numPr>
                <w:numId w:val="0"/>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lang w:val="en-US" w:eastAsia="zh-CN"/>
              </w:rPr>
              <w:t>6.</w:t>
            </w:r>
            <w:r>
              <w:rPr>
                <w:rFonts w:hint="eastAsia"/>
                <w:b/>
                <w:color w:val="000000" w:themeColor="text1"/>
                <w:sz w:val="20"/>
                <w:szCs w:val="20"/>
              </w:rPr>
              <w:t>其他能够标明组织绩效、信誉的证据/信息：</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720" w:type="dxa"/>
            <w:vMerge w:val="restart"/>
            <w:textDirection w:val="tbRlV"/>
            <w:vAlign w:val="center"/>
          </w:tcPr>
          <w:p>
            <w:pPr>
              <w:keepNext w:val="0"/>
              <w:keepLines w:val="0"/>
              <w:pageBreakBefore w:val="0"/>
              <w:kinsoku/>
              <w:wordWrap/>
              <w:overflowPunct/>
              <w:topLinePunct w:val="0"/>
              <w:autoSpaceDE/>
              <w:autoSpaceDN/>
              <w:bidi w:val="0"/>
              <w:adjustRightInd/>
              <w:snapToGrid/>
              <w:spacing w:line="360" w:lineRule="exact"/>
              <w:ind w:left="113" w:leftChars="0" w:right="113"/>
              <w:jc w:val="center"/>
              <w:textAlignment w:val="auto"/>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1 纠正/预防措施的实施及效果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已完成</w:t>
            </w:r>
            <w:r>
              <w:rPr>
                <w:rFonts w:hint="eastAsia"/>
                <w:sz w:val="21"/>
                <w:szCs w:val="21"/>
              </w:rPr>
              <w:t>。</w:t>
            </w:r>
            <w:r>
              <w:rPr>
                <w:rFonts w:hint="eastAsia"/>
                <w:sz w:val="21"/>
                <w:szCs w:val="21"/>
                <w:lang w:eastAsia="zh-CN"/>
              </w:rPr>
              <w:t>纠正措施尚可。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pacing w:val="-20"/>
                <w:sz w:val="20"/>
                <w:szCs w:val="20"/>
              </w:rPr>
            </w:pPr>
            <w:r>
              <w:rPr>
                <w:rFonts w:hint="eastAsia"/>
                <w:b/>
                <w:color w:val="000000" w:themeColor="text1"/>
                <w:spacing w:val="-20"/>
                <w:sz w:val="20"/>
                <w:szCs w:val="20"/>
              </w:rPr>
              <w:t>2（近一年）重大事故、顾客/相关方投诉</w:t>
            </w:r>
          </w:p>
          <w:p>
            <w:pPr>
              <w:keepNext w:val="0"/>
              <w:keepLines w:val="0"/>
              <w:pageBreakBefore w:val="0"/>
              <w:kinsoku/>
              <w:wordWrap/>
              <w:overflowPunct/>
              <w:topLinePunct w:val="0"/>
              <w:autoSpaceDE/>
              <w:autoSpaceDN/>
              <w:bidi w:val="0"/>
              <w:adjustRightInd/>
              <w:snapToGrid/>
              <w:spacing w:line="360" w:lineRule="exact"/>
              <w:textAlignment w:val="auto"/>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 w:val="20"/>
                <w:szCs w:val="20"/>
              </w:rPr>
            </w:pPr>
            <w:r>
              <w:rPr>
                <w:rFonts w:hint="eastAsia"/>
                <w:b/>
                <w:color w:val="000000" w:themeColor="text1"/>
                <w:sz w:val="20"/>
                <w:szCs w:val="20"/>
              </w:rPr>
              <w:t>3. 一阶段提出问题的整改情况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numPr>
                <w:ilvl w:val="0"/>
                <w:numId w:val="6"/>
              </w:numPr>
              <w:kinsoku/>
              <w:wordWrap/>
              <w:overflowPunct/>
              <w:topLinePunct w:val="0"/>
              <w:autoSpaceDE/>
              <w:autoSpaceDN/>
              <w:bidi w:val="0"/>
              <w:adjustRightInd/>
              <w:snapToGrid/>
              <w:spacing w:line="360" w:lineRule="exact"/>
              <w:textAlignment w:val="auto"/>
              <w:rPr>
                <w:rFonts w:hint="eastAsia"/>
                <w:b/>
                <w:color w:val="000000" w:themeColor="text1"/>
                <w:sz w:val="20"/>
                <w:szCs w:val="20"/>
              </w:rPr>
            </w:pPr>
            <w:r>
              <w:rPr>
                <w:rFonts w:hint="eastAsia"/>
                <w:b/>
                <w:color w:val="000000" w:themeColor="text1"/>
                <w:sz w:val="20"/>
                <w:szCs w:val="20"/>
              </w:rPr>
              <w:t>创新情况</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jc w:val="center"/>
        </w:trPr>
        <w:tc>
          <w:tcPr>
            <w:tcW w:w="72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textAlignment w:val="auto"/>
              <w:rPr>
                <w:b/>
                <w:color w:val="000000" w:themeColor="text1"/>
                <w:szCs w:val="21"/>
              </w:rPr>
            </w:pPr>
            <w:r>
              <w:rPr>
                <w:rFonts w:hint="eastAsia"/>
                <w:b/>
                <w:color w:val="000000" w:themeColor="text1"/>
                <w:szCs w:val="21"/>
              </w:rPr>
              <w:t>5. 上次不符合的整改情况（再认证填写）</w:t>
            </w:r>
          </w:p>
        </w:tc>
      </w:tr>
    </w:tbl>
    <w:p>
      <w:pPr>
        <w:spacing w:line="360" w:lineRule="auto"/>
        <w:ind w:left="1" w:leftChars="-472" w:hanging="992" w:hangingChars="380"/>
        <w:rPr>
          <w:rFonts w:hint="eastAsia"/>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w:t>
      </w:r>
      <w:r>
        <w:rPr>
          <w:rFonts w:hint="eastAsia"/>
          <w:b/>
          <w:color w:val="000000" w:themeColor="text1"/>
          <w:lang w:eastAsia="zh-CN"/>
        </w:rPr>
        <w:t>，</w:t>
      </w:r>
      <w:r>
        <w:rPr>
          <w:rFonts w:hint="eastAsia"/>
          <w:b/>
          <w:color w:val="000000" w:themeColor="text1"/>
        </w:rPr>
        <w:t>分布在</w:t>
      </w:r>
      <w:r>
        <w:rPr>
          <w:rFonts w:hint="eastAsia"/>
          <w:b/>
          <w:color w:val="000000" w:themeColor="text1"/>
          <w:lang w:val="en-US" w:eastAsia="zh-CN"/>
        </w:rPr>
        <w:t>生产部8.1</w:t>
      </w:r>
      <w:r>
        <w:rPr>
          <w:rFonts w:hint="eastAsia"/>
          <w:b/>
          <w:color w:val="000000" w:themeColor="text1"/>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spacing w:line="360" w:lineRule="auto"/>
        <w:ind w:left="1" w:leftChars="-472" w:hanging="992" w:hangingChars="380"/>
        <w:rPr>
          <w:rFonts w:hint="eastAsia"/>
          <w:b/>
          <w:color w:val="000000" w:themeColor="text1"/>
          <w:sz w:val="26"/>
          <w:szCs w:val="26"/>
        </w:rPr>
      </w:pPr>
      <w:r>
        <w:rPr>
          <w:rFonts w:hint="eastAsia"/>
          <w:b/>
          <w:color w:val="000000" w:themeColor="text1"/>
          <w:sz w:val="26"/>
          <w:szCs w:val="26"/>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b/>
                <w:color w:val="000000" w:themeColor="text1"/>
                <w:szCs w:val="21"/>
              </w:rPr>
            </w:pPr>
          </w:p>
        </w:tc>
      </w:tr>
    </w:tbl>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z w:val="22"/>
                <w:szCs w:val="22"/>
                <w:lang w:val="en-US" w:eastAsia="zh-CN"/>
              </w:rPr>
              <w:t xml:space="preserve">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pStyle w:val="17"/>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rFonts w:hint="eastAsia" w:cs="宋体"/>
                <w:color w:val="auto"/>
                <w:sz w:val="21"/>
                <w:szCs w:val="21"/>
                <w:u w:val="single"/>
                <w:lang w:val="en-GB"/>
              </w:rPr>
              <w:t xml:space="preserve"> </w:t>
            </w:r>
            <w:r>
              <w:rPr>
                <w:rFonts w:hint="eastAsia"/>
                <w:sz w:val="21"/>
                <w:szCs w:val="21"/>
                <w:u w:val="single"/>
                <w:lang w:eastAsia="zh-CN"/>
              </w:rPr>
              <w:t>浙江澳华机电制造有限公司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7"/>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cs="宋体"/>
                <w:b/>
                <w:color w:val="auto"/>
                <w:sz w:val="21"/>
                <w:szCs w:val="21"/>
                <w:lang w:eastAsia="zh-CN"/>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7"/>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7"/>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rFonts w:hint="eastAsia" w:ascii="宋体" w:hAnsi="宋体"/>
                <w:sz w:val="21"/>
                <w:szCs w:val="21"/>
              </w:rPr>
            </w:pPr>
            <w:r>
              <w:rPr>
                <w:rFonts w:hint="eastAsia" w:ascii="宋体" w:hAnsi="宋体"/>
                <w:sz w:val="21"/>
                <w:szCs w:val="21"/>
                <w:lang w:eastAsia="zh-CN"/>
              </w:rPr>
              <w:t>变压器</w:t>
            </w:r>
            <w:r>
              <w:rPr>
                <w:rFonts w:hint="eastAsia" w:ascii="宋体" w:hAnsi="宋体"/>
                <w:sz w:val="21"/>
                <w:szCs w:val="21"/>
              </w:rPr>
              <w:t>的生产所涉及的相关环境管理活动</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Times New Roman" w:hAnsi="Times New Roman" w:eastAsia="宋体" w:cs="Times New Roman"/>
          <w:b/>
          <w:color w:val="000000" w:themeColor="text1"/>
          <w:kern w:val="2"/>
          <w:sz w:val="26"/>
          <w:szCs w:val="26"/>
          <w:lang w:val="en-US" w:eastAsia="zh-CN" w:bidi="ar-SA"/>
        </w:rPr>
        <w:t>审核基于对可获得信息的抽样过程的免责声明</w:t>
      </w:r>
      <w:r>
        <w:rPr>
          <w:rFonts w:hint="eastAsia" w:ascii="仿宋" w:hAnsi="仿宋" w:eastAsia="仿宋"/>
          <w:color w:val="000000" w:themeColor="text1"/>
          <w:kern w:val="24"/>
          <w:sz w:val="28"/>
          <w:szCs w:val="28"/>
        </w:rPr>
        <w:t xml:space="preserve">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w:t>
      </w:r>
      <w:r>
        <w:rPr>
          <w:rFonts w:hint="eastAsia" w:ascii="Times New Roman" w:hAnsi="Times New Roman" w:cs="Times New Roman"/>
          <w:b/>
          <w:color w:val="000000" w:themeColor="text1"/>
          <w:sz w:val="26"/>
          <w:szCs w:val="26"/>
        </w:rPr>
        <w:t>任何影响审核方案的重要事项</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val="en-US" w:eastAsia="zh-CN"/>
        </w:rPr>
        <w:drawing>
          <wp:anchor distT="0" distB="0" distL="114300" distR="114300" simplePos="0" relativeHeight="251662336" behindDoc="0" locked="0" layoutInCell="1" allowOverlap="1">
            <wp:simplePos x="0" y="0"/>
            <wp:positionH relativeFrom="column">
              <wp:posOffset>1473200</wp:posOffset>
            </wp:positionH>
            <wp:positionV relativeFrom="paragraph">
              <wp:posOffset>127635</wp:posOffset>
            </wp:positionV>
            <wp:extent cx="1195070" cy="575310"/>
            <wp:effectExtent l="0" t="0" r="0" b="9525"/>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195070" cy="57531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b/>
          <w:color w:val="000000" w:themeColor="text1"/>
          <w:sz w:val="26"/>
          <w:szCs w:val="26"/>
        </w:rPr>
      </w:pPr>
      <w:r>
        <w:rPr>
          <w:rFonts w:hint="eastAsia"/>
          <w:b/>
          <w:color w:val="000000" w:themeColor="text1"/>
          <w:sz w:val="26"/>
          <w:szCs w:val="26"/>
        </w:rPr>
        <w:t>审核组组长（签名）：</w:t>
      </w:r>
    </w:p>
    <w:p>
      <w:pPr>
        <w:snapToGrid w:val="0"/>
        <w:spacing w:after="156" w:afterLines="50" w:line="360" w:lineRule="auto"/>
        <w:ind w:left="1" w:leftChars="-32" w:hanging="68" w:hangingChars="26"/>
        <w:rPr>
          <w:rFonts w:hint="eastAsia" w:eastAsia="宋体"/>
          <w:b/>
          <w:color w:val="000000" w:themeColor="text1"/>
          <w:sz w:val="26"/>
          <w:szCs w:val="26"/>
          <w:lang w:val="en-US" w:eastAsia="zh-CN"/>
        </w:rPr>
      </w:pPr>
      <w:r>
        <w:rPr>
          <w:rFonts w:hint="eastAsia"/>
          <w:b/>
          <w:color w:val="000000" w:themeColor="text1"/>
          <w:sz w:val="26"/>
          <w:szCs w:val="26"/>
        </w:rPr>
        <w:t>审核组组员（签名）：</w:t>
      </w:r>
      <w:r>
        <w:rPr>
          <w:rFonts w:hint="eastAsia"/>
          <w:b/>
          <w:color w:val="000000" w:themeColor="text1"/>
          <w:sz w:val="26"/>
          <w:szCs w:val="26"/>
          <w:lang w:val="en-US" w:eastAsia="zh-CN"/>
        </w:rPr>
        <w:t>/</w:t>
      </w:r>
    </w:p>
    <w:p>
      <w:pPr>
        <w:snapToGrid w:val="0"/>
        <w:spacing w:line="360" w:lineRule="auto"/>
        <w:ind w:firstLine="4554" w:firstLineChars="2160"/>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7</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rFonts w:hint="eastAsia"/>
          <w:b/>
          <w:color w:val="000000" w:themeColor="text1"/>
          <w:sz w:val="26"/>
          <w:szCs w:val="26"/>
        </w:rPr>
      </w:pP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rFonts w:hint="eastAsia"/>
          <w:b/>
          <w:color w:val="000000" w:themeColor="text1"/>
          <w:szCs w:val="21"/>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rFonts w:hint="eastAsia"/>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napToGrid w:val="0"/>
        <w:spacing w:before="156" w:beforeLines="50" w:after="156" w:afterLines="50"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color w:val="000000" w:themeColor="text1"/>
          <w:szCs w:val="21"/>
        </w:rPr>
        <w:t>存在问题说明及意见：</w:t>
      </w: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rFonts w:hint="eastAsia"/>
          <w:b/>
          <w:color w:val="000000" w:themeColor="text1"/>
          <w:szCs w:val="21"/>
        </w:rPr>
      </w:pPr>
      <w:r>
        <w:rPr>
          <w:rFonts w:hint="eastAsia"/>
          <w:b/>
          <w:color w:val="000000" w:themeColor="text1"/>
          <w:szCs w:val="21"/>
        </w:rPr>
        <w:drawing>
          <wp:anchor distT="0" distB="0" distL="114300" distR="114300" simplePos="0" relativeHeight="251663360" behindDoc="0" locked="0" layoutInCell="1" allowOverlap="1">
            <wp:simplePos x="0" y="0"/>
            <wp:positionH relativeFrom="column">
              <wp:posOffset>582930</wp:posOffset>
            </wp:positionH>
            <wp:positionV relativeFrom="paragraph">
              <wp:posOffset>322580</wp:posOffset>
            </wp:positionV>
            <wp:extent cx="1272540" cy="612775"/>
            <wp:effectExtent l="0" t="0" r="0" b="1016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272540" cy="612775"/>
                    </a:xfrm>
                    <a:prstGeom prst="rect">
                      <a:avLst/>
                    </a:prstGeom>
                  </pic:spPr>
                </pic:pic>
              </a:graphicData>
            </a:graphic>
          </wp:anchor>
        </w:drawing>
      </w:r>
    </w:p>
    <w:p>
      <w:pPr>
        <w:spacing w:before="312" w:beforeLines="100" w:after="156" w:afterLines="50"/>
        <w:rPr>
          <w:rFonts w:hint="eastAsia"/>
          <w:b/>
          <w:color w:val="000000" w:themeColor="text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7</w:t>
      </w:r>
      <w:r>
        <w:rPr>
          <w:rFonts w:hint="eastAsia"/>
          <w:b/>
          <w:color w:val="000000" w:themeColor="text1"/>
          <w:szCs w:val="21"/>
        </w:rPr>
        <w:t>月</w:t>
      </w:r>
      <w:r>
        <w:rPr>
          <w:rFonts w:hint="eastAsia"/>
          <w:b/>
          <w:color w:val="000000" w:themeColor="text1"/>
          <w:szCs w:val="21"/>
          <w:lang w:val="en-US" w:eastAsia="zh-CN"/>
        </w:rPr>
        <w:t>1</w:t>
      </w:r>
      <w:bookmarkStart w:id="11" w:name="_GoBack"/>
      <w:bookmarkEnd w:id="11"/>
      <w:r>
        <w:rPr>
          <w:rFonts w:hint="eastAsia"/>
          <w:b/>
          <w:color w:val="000000" w:themeColor="text1"/>
          <w:szCs w:val="21"/>
          <w:lang w:val="en-US" w:eastAsia="zh-CN"/>
        </w:rPr>
        <w:t>5</w:t>
      </w:r>
      <w:r>
        <w:rPr>
          <w:rFonts w:hint="eastAsia"/>
          <w:b/>
          <w:color w:val="000000" w:themeColor="text1"/>
          <w:szCs w:val="21"/>
        </w:rPr>
        <w:t>日</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b/>
          <w:color w:val="000000" w:themeColor="text1"/>
          <w:sz w:val="26"/>
          <w:szCs w:val="26"/>
        </w:rPr>
      </w:pPr>
      <w:r>
        <w:rPr>
          <w:rFonts w:hint="eastAsia"/>
          <w:b/>
          <w:color w:val="000000" w:themeColor="text1"/>
          <w:sz w:val="26"/>
          <w:szCs w:val="26"/>
        </w:rPr>
        <w:t>十六、认证评定与批准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十七、与末次会议结论不同处的说明和其他说明(技术委员会填写)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十八、审核报告的发放范围</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lang w:val="en-US" w:eastAsia="zh-CN"/>
        </w:rPr>
        <w:t xml:space="preserve">         </w:t>
      </w:r>
      <w:r>
        <w:rPr>
          <w:rFonts w:hint="eastAsia"/>
          <w:b/>
          <w:color w:val="000000" w:themeColor="text1"/>
        </w:rPr>
        <w:t>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pacing w:line="360" w:lineRule="auto"/>
        <w:ind w:left="202" w:leftChars="-405" w:hanging="1052" w:hangingChars="403"/>
        <w:rPr>
          <w:rFonts w:hint="eastAsia"/>
          <w:b/>
          <w:color w:val="000000" w:themeColor="text1"/>
          <w:sz w:val="26"/>
          <w:szCs w:val="26"/>
        </w:rPr>
      </w:pPr>
    </w:p>
    <w:p>
      <w:pPr>
        <w:spacing w:line="360" w:lineRule="auto"/>
        <w:ind w:left="202" w:leftChars="-405" w:hanging="1052" w:hangingChars="403"/>
        <w:rPr>
          <w:rFonts w:hint="eastAsia"/>
          <w:b/>
          <w:color w:val="000000" w:themeColor="text1"/>
          <w:sz w:val="26"/>
          <w:szCs w:val="26"/>
        </w:rPr>
      </w:pPr>
      <w:r>
        <w:rPr>
          <w:rFonts w:hint="eastAsia"/>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0"/>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EFB11"/>
    <w:multiLevelType w:val="singleLevel"/>
    <w:tmpl w:val="912EFB11"/>
    <w:lvl w:ilvl="0" w:tentative="0">
      <w:start w:val="4"/>
      <w:numFmt w:val="decimal"/>
      <w:lvlText w:val="%1."/>
      <w:lvlJc w:val="left"/>
      <w:pPr>
        <w:tabs>
          <w:tab w:val="left" w:pos="312"/>
        </w:tabs>
      </w:pPr>
    </w:lvl>
  </w:abstractNum>
  <w:abstractNum w:abstractNumId="1">
    <w:nsid w:val="A836B5D8"/>
    <w:multiLevelType w:val="singleLevel"/>
    <w:tmpl w:val="A836B5D8"/>
    <w:lvl w:ilvl="0" w:tentative="0">
      <w:start w:val="4"/>
      <w:numFmt w:val="decimal"/>
      <w:suff w:val="nothing"/>
      <w:lvlText w:val="%1）"/>
      <w:lvlJc w:val="left"/>
    </w:lvl>
  </w:abstractNum>
  <w:abstractNum w:abstractNumId="2">
    <w:nsid w:val="C74FEE95"/>
    <w:multiLevelType w:val="singleLevel"/>
    <w:tmpl w:val="C74FEE95"/>
    <w:lvl w:ilvl="0" w:tentative="0">
      <w:start w:val="2"/>
      <w:numFmt w:val="decimal"/>
      <w:suff w:val="nothing"/>
      <w:lvlText w:val="%1、"/>
      <w:lvlJc w:val="left"/>
    </w:lvl>
  </w:abstractNum>
  <w:abstractNum w:abstractNumId="3">
    <w:nsid w:val="058876D9"/>
    <w:multiLevelType w:val="singleLevel"/>
    <w:tmpl w:val="058876D9"/>
    <w:lvl w:ilvl="0" w:tentative="0">
      <w:start w:val="1"/>
      <w:numFmt w:val="decimal"/>
      <w:lvlText w:val="%1."/>
      <w:lvlJc w:val="left"/>
      <w:pPr>
        <w:tabs>
          <w:tab w:val="left" w:pos="312"/>
        </w:tabs>
      </w:pPr>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0745B7"/>
    <w:rsid w:val="3C9A0372"/>
    <w:rsid w:val="60E54F6B"/>
    <w:rsid w:val="63067D25"/>
    <w:rsid w:val="647437DC"/>
    <w:rsid w:val="79A520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44"/>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5</TotalTime>
  <ScaleCrop>false</ScaleCrop>
  <LinksUpToDate>false</LinksUpToDate>
  <CharactersWithSpaces>5143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2020-07-16T08:30:29Z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