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河北汉东电力设备有限公司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10865-2025-SA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河北省石家庄市晋州市东里庄镇宿生村村东南行50米路东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河北省石家庄市晋州市东里庄镇宿生村村东南行50米路东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电力安全工器具(驱鸟器、防鸟刺、电杆防撞警示墩、标示牌、登杆脚扣、高压拉闸杆、绝缘伸缩围栏、绝缘硬梯、电容型验电器、遮蔽罩、接地线/棒、铁塔防坠落装置)、电缆保护管、铁附件、桥架的加工；安全带、安全帽、绝缘靴、绝缘手套、安全绳、拉线护套、安全工具柜、电力金具、家用电器、厨房用品、电缆附件、红布幔、电绝缘橡胶板、电缆分线箱、绝缘涂料的销售的售后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