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阿拉丁环保科技（苏州）有限公司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2024年12月18日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苏州工业园区胜浦街道圩浦路7号胜创科技园1幢303室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苏州工业园区胜浦街道圩浦路7号胜创科技园1幢303室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