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20972-2024-EnMS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盐城荣途涂装有限公司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91320922MA27DWQ43G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盐城荣途涂装有限公司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盐城市滨海县世纪大道北侧、二坎路西侧、幸福北路东侧江苏驰骏智能装备有限公司院内</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盐城市滨海县世纪大道北侧、二坎路西侧、幸福北路东侧江苏驰骏智能装备有限公司院内</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涂装设备制造；喷涂加工；石油钻采专用设备制造所涉及的能源管理活动。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盐城荣途涂装有限公司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盐城市滨海县世纪大道北侧、二坎路西侧、幸福北路东侧江苏驰骏智能装备有限公司院内</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盐城市滨海县世纪大道北侧、二坎路西侧、幸福北路东侧江苏驰骏智能装备有限公司院内</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涂装设备制造；喷涂加工；石油钻采专用设备制造所涉及的能源管理活动。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