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bookmarkStart w:id="1" w:name="_GoBack"/>
      <w:bookmarkEnd w:id="1"/>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default"/>
                <w:lang w:val="en-US" w:eastAsia="zh-CN"/>
              </w:rPr>
              <w:t>顾振英</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default"/>
                <w:lang w:val="en-US" w:eastAsia="zh-CN"/>
              </w:rPr>
              <w:t>刘洋</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default"/>
                <w:lang w:val="en-US" w:eastAsia="zh-CN"/>
              </w:rPr>
              <w:t>马凯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2020.6.21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资质验证/范围再确认/一阶段问题验证/投诉或事故/政府主管部门监督抽查情况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博林中凯（北京）科技有限公司</w:t>
            </w:r>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注册地址：北京市海淀区昌运宫7号楼1幢3层3098。</w:t>
            </w:r>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查营业执照，统一社会信用代码：911101115712357787</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成立日期：2011-03-25 - 2041-03-24</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法人代表：顾振英 ，注册资本：5100.00万人民币</w:t>
            </w:r>
          </w:p>
          <w:p>
            <w:pPr>
              <w:pStyle w:val="11"/>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技术开发、技术推广、技术转让、技术咨询、技术服务；设计、制作、代理、发布广告；市场调查；计算机系统集成；数据处理（数据处理中的银行卡中心、PUE值在1.4以上的云计算数据中心除外）；软件开发；销售自行开发的产品；销售计算机、软件及辅助设备、机械设备、电子产品、通讯设备（不得从事实体店铺经营）；企业管理咨询；软件咨询；产品设计。（市场主体依法自主选择经营项目，开展经营活动；依法须经批准的项目，经相关部门批准后依批准的内容开展经营活动；不得从事国家和本市产业政策禁止和限制类项目的经营活动。）</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认证范围：</w:t>
            </w:r>
          </w:p>
          <w:p>
            <w:pPr>
              <w:pStyle w:val="11"/>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数据处理（数据处理中的银行卡中心、PUE值在1.4以上的云计算数据中心除外）</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8.3条款不适用，理由：</w:t>
            </w:r>
            <w:r>
              <w:rPr>
                <w:rFonts w:hint="eastAsia" w:ascii="宋体" w:hAnsi="宋体" w:eastAsia="宋体" w:cs="宋体"/>
                <w:color w:val="auto"/>
                <w:kern w:val="0"/>
                <w:sz w:val="21"/>
                <w:szCs w:val="21"/>
                <w:lang w:val="en-US" w:eastAsia="zh-CN"/>
              </w:rPr>
              <w:t>其</w:t>
            </w:r>
            <w:r>
              <w:rPr>
                <w:rFonts w:hint="eastAsia" w:ascii="宋体" w:hAnsi="宋体" w:cs="宋体"/>
                <w:color w:val="auto"/>
                <w:kern w:val="0"/>
                <w:sz w:val="21"/>
                <w:szCs w:val="21"/>
                <w:lang w:val="en-US" w:eastAsia="zh-CN"/>
              </w:rPr>
              <w:t>数据处理按照顾客及合同的要求，</w:t>
            </w:r>
            <w:r>
              <w:rPr>
                <w:rFonts w:hint="default"/>
                <w:lang w:val="en-US" w:eastAsia="zh-CN"/>
              </w:rPr>
              <w:t>该条款的不适用,不影响组织确保其产品和服务合格的能力和责任，也不会对增强顾客满意产生影响</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一阶段问题：无</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rPr>
                <w:rFonts w:hint="eastAsia"/>
                <w:b/>
                <w:sz w:val="21"/>
              </w:rPr>
            </w:pPr>
            <w:r>
              <w:rPr>
                <w:rFonts w:hint="eastAsia"/>
                <w:b/>
                <w:sz w:val="21"/>
              </w:rPr>
              <w:t>理解组织及其环境</w:t>
            </w:r>
          </w:p>
          <w:p>
            <w:r>
              <w:rPr>
                <w:rFonts w:hint="eastAsia"/>
                <w:b/>
                <w:sz w:val="21"/>
              </w:rPr>
              <w:t>总要求</w:t>
            </w:r>
          </w:p>
        </w:tc>
        <w:tc>
          <w:tcPr>
            <w:tcW w:w="1186"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ascii="宋体" w:hAnsi="宋体"/>
                <w:b w:val="0"/>
                <w:bCs w:val="0"/>
                <w:color w:val="auto"/>
                <w:sz w:val="21"/>
                <w:szCs w:val="21"/>
                <w:lang w:val="zh-CN" w:eastAsia="zh-CN"/>
              </w:rPr>
              <w:t>赵春荣</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bookmarkStart w:id="0" w:name="审核范围"/>
            <w:r>
              <w:rPr>
                <w:rFonts w:hint="eastAsia" w:ascii="宋体" w:hAnsi="宋体"/>
                <w:szCs w:val="21"/>
              </w:rPr>
              <w:t>数据处理（数据处理中的银行卡中心、PUE值在1.4以上的云计算数据中心除外）</w:t>
            </w:r>
            <w:bookmarkEnd w:id="0"/>
            <w:r>
              <w:rPr>
                <w:rFonts w:hint="eastAsia" w:asciiTheme="minorEastAsia" w:hAnsiTheme="minorEastAsia" w:eastAsiaTheme="minorEastAsia" w:cstheme="minorEastAsia"/>
                <w:b w:val="0"/>
                <w:bCs w:val="0"/>
                <w:color w:val="auto"/>
                <w:sz w:val="21"/>
                <w:szCs w:val="21"/>
                <w:lang w:val="en-US" w:eastAsia="zh-CN"/>
              </w:rPr>
              <w:t>，客户覆盖全国各行各业行业；公司采用经理负责制，层层把关，让用户真正放心。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提供了《组织内外部环境因素识别表》：</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内部环境：资源因素－公司提供符合上述产品生产服务的场所，配备适宜的硬件和软件设施设备。</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信息来源：设施设备台账</w:t>
            </w:r>
          </w:p>
          <w:p>
            <w:pPr>
              <w:pStyle w:val="11"/>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数据处理设备：</w:t>
            </w:r>
            <w:r>
              <w:rPr>
                <w:rFonts w:hint="eastAsia" w:ascii="宋体" w:hAnsi="宋体" w:cs="Arial"/>
                <w:sz w:val="24"/>
                <w:lang w:val="en-US" w:eastAsia="zh-CN"/>
              </w:rPr>
              <w:t>通信交换设备*交换机、其他电子设备*服务器、电子计算机*机柜、电子计算机*工作站、计算机外部设备*存储、信息安全产品*防火墙</w:t>
            </w:r>
            <w:r>
              <w:rPr>
                <w:rFonts w:hint="eastAsia" w:asciiTheme="minorEastAsia" w:hAnsiTheme="minorEastAsia" w:eastAsiaTheme="minorEastAsia" w:cstheme="minorEastAsia"/>
                <w:b w:val="0"/>
                <w:bCs w:val="0"/>
                <w:color w:val="auto"/>
                <w:sz w:val="21"/>
                <w:szCs w:val="21"/>
                <w:lang w:val="en-US" w:eastAsia="zh-CN"/>
              </w:rPr>
              <w:t>等</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大数据云平台</w:t>
            </w:r>
            <w:r>
              <w:rPr>
                <w:rFonts w:hint="eastAsia"/>
                <w:lang w:val="en-US" w:eastAsia="zh-CN"/>
              </w:rPr>
              <w:t xml:space="preserve"> V1.0</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本公司设施设备可以确保嵌入式计算机模块的设计、研发和销售，基本</w:t>
            </w:r>
            <w:r>
              <w:rPr>
                <w:rFonts w:hint="eastAsia" w:asciiTheme="minorEastAsia" w:hAnsiTheme="minorEastAsia" w:eastAsiaTheme="minorEastAsia" w:cstheme="minorEastAsia"/>
                <w:b w:val="0"/>
                <w:bCs w:val="0"/>
                <w:color w:val="auto"/>
                <w:sz w:val="21"/>
                <w:szCs w:val="21"/>
              </w:rPr>
              <w:t>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理解相关方的需求和期望</w:t>
            </w:r>
          </w:p>
        </w:tc>
        <w:tc>
          <w:tcPr>
            <w:tcW w:w="1186"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19.11.10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生产制造加工过程的实现过程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品质第一，诚信服务，确保顾客满意；</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精益求精，持续改进，促进公司发展。</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autoSpaceDE w:val="0"/>
              <w:autoSpaceDN w:val="0"/>
              <w:adjustRightInd w:val="0"/>
              <w:spacing w:line="360" w:lineRule="auto"/>
              <w:ind w:left="578" w:leftChars="275" w:firstLine="103" w:firstLineChars="49"/>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w:t>
            </w:r>
            <w:r>
              <w:rPr>
                <w:rFonts w:hint="eastAsia" w:hAnsi="宋体" w:cs="宋体"/>
                <w:b/>
                <w:lang w:val="en-US" w:eastAsia="zh-CN"/>
              </w:rPr>
              <w:t>行政部、业务部、技术部。</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color w:val="auto"/>
                <w:szCs w:val="21"/>
              </w:rPr>
              <w:t>嵌入式计算机模块的设计、研发和销售</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识别人：</w:t>
            </w:r>
            <w:r>
              <w:rPr>
                <w:rFonts w:hint="default"/>
                <w:lang w:val="en-US" w:eastAsia="zh-CN"/>
              </w:rPr>
              <w:t>刘洋</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宋体" w:hAnsi="宋体"/>
                <w:b w:val="0"/>
                <w:bCs w:val="0"/>
                <w:color w:val="auto"/>
                <w:sz w:val="21"/>
                <w:szCs w:val="21"/>
                <w:lang w:val="zh-CN" w:eastAsia="zh-CN"/>
              </w:rPr>
              <w:t xml:space="preserve"> </w:t>
            </w:r>
            <w:r>
              <w:rPr>
                <w:rFonts w:hint="eastAsia" w:asciiTheme="minorEastAsia" w:hAnsiTheme="minorEastAsia" w:eastAsiaTheme="minorEastAsia" w:cstheme="minorEastAsia"/>
                <w:b w:val="0"/>
                <w:bCs w:val="0"/>
                <w:color w:val="auto"/>
                <w:sz w:val="21"/>
                <w:szCs w:val="21"/>
              </w:rPr>
              <w:t xml:space="preserve">等， </w:t>
            </w:r>
            <w:r>
              <w:rPr>
                <w:rFonts w:hint="eastAsia" w:asciiTheme="minorEastAsia" w:hAnsiTheme="minorEastAsia" w:eastAsiaTheme="minorEastAsia" w:cstheme="minorEastAsia"/>
                <w:b w:val="0"/>
                <w:bCs w:val="0"/>
                <w:color w:val="auto"/>
                <w:sz w:val="21"/>
                <w:szCs w:val="21"/>
                <w:lang w:val="en-US" w:eastAsia="zh-CN"/>
              </w:rPr>
              <w:t>2019.11.10</w:t>
            </w:r>
            <w:r>
              <w:rPr>
                <w:rFonts w:hint="eastAsia" w:asciiTheme="minorEastAsia" w:hAnsiTheme="minorEastAsia" w:eastAsiaTheme="minorEastAsia" w:cstheme="minorEastAsia"/>
                <w:b w:val="0"/>
                <w:bCs w:val="0"/>
                <w:color w:val="auto"/>
                <w:sz w:val="21"/>
                <w:szCs w:val="21"/>
              </w:rPr>
              <w:t>，批准：</w:t>
            </w:r>
            <w:r>
              <w:rPr>
                <w:rFonts w:hint="default"/>
                <w:lang w:val="en-US" w:eastAsia="zh-CN"/>
              </w:rPr>
              <w:t>顾振英</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p>
          <w:p>
            <w:pPr>
              <w:ind w:firstLine="420" w:firstLineChars="200"/>
              <w:jc w:val="both"/>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spacing w:line="580" w:lineRule="exact"/>
              <w:rPr>
                <w:rFonts w:hint="eastAsia"/>
              </w:rPr>
            </w:pPr>
            <w:r>
              <w:rPr>
                <w:rFonts w:hint="eastAsia"/>
              </w:rPr>
              <w:t>项目交付及时率100%；</w:t>
            </w:r>
          </w:p>
          <w:p>
            <w:pPr>
              <w:spacing w:line="580" w:lineRule="exact"/>
              <w:rPr>
                <w:rFonts w:hint="eastAsia"/>
              </w:rPr>
            </w:pPr>
            <w:r>
              <w:rPr>
                <w:rFonts w:hint="eastAsia"/>
              </w:rPr>
              <w:t>服务质量合格率100%</w:t>
            </w:r>
          </w:p>
          <w:p>
            <w:pPr>
              <w:spacing w:line="580" w:lineRule="exact"/>
              <w:rPr>
                <w:rFonts w:hint="eastAsia"/>
              </w:rPr>
            </w:pPr>
            <w:r>
              <w:rPr>
                <w:rFonts w:hint="eastAsia"/>
              </w:rPr>
              <w:t>顾客满意率≥95%。</w:t>
            </w:r>
          </w:p>
          <w:p>
            <w:pPr>
              <w:rPr>
                <w:rFonts w:hint="eastAsia"/>
              </w:rPr>
            </w:pPr>
            <w:r>
              <w:rPr>
                <w:rFonts w:hint="eastAsia"/>
              </w:rPr>
              <w:t xml:space="preserve">     </w:t>
            </w:r>
            <w:r>
              <w:t xml:space="preserve">   </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提供2020年</w:t>
            </w:r>
            <w:r>
              <w:rPr>
                <w:rFonts w:hint="eastAsia"/>
                <w:lang w:eastAsia="zh-CN"/>
              </w:rPr>
              <w:t>统计</w:t>
            </w:r>
            <w:r>
              <w:rPr>
                <w:rFonts w:hint="eastAsia"/>
                <w:lang w:val="en-US" w:eastAsia="zh-CN"/>
              </w:rPr>
              <w:t>1季度完成情况，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200平米，租用写字楼。</w:t>
            </w:r>
          </w:p>
          <w:p>
            <w:pPr>
              <w:pStyle w:val="11"/>
              <w:rPr>
                <w:rFonts w:hint="default"/>
                <w:lang w:val="en-US" w:eastAsia="zh-CN"/>
              </w:rPr>
            </w:pPr>
            <w:r>
              <w:rPr>
                <w:rFonts w:hint="eastAsia"/>
                <w:b w:val="0"/>
                <w:bCs w:val="0"/>
                <w:color w:val="auto"/>
                <w:lang w:val="en-US" w:eastAsia="zh-CN"/>
              </w:rPr>
              <w:t xml:space="preserve">  数据处理</w:t>
            </w:r>
            <w:r>
              <w:rPr>
                <w:rFonts w:hint="eastAsia" w:ascii="宋体" w:hAnsi="宋体" w:cs="Arial"/>
                <w:sz w:val="24"/>
                <w:lang w:val="en-US" w:eastAsia="zh-CN"/>
              </w:rPr>
              <w:t>设备：通信交换设备*交换机、其他电子设备*服务器、电子计算机*机柜、电子计算机*工作站、计算机外部设备*存储、信息安全产品*防火墙等</w:t>
            </w:r>
          </w:p>
          <w:p>
            <w:pPr>
              <w:rPr>
                <w:rFonts w:hint="default" w:eastAsia="宋体"/>
                <w:lang w:val="en-US" w:eastAsia="zh-CN"/>
              </w:rPr>
            </w:pPr>
            <w:r>
              <w:rPr>
                <w:rFonts w:hint="eastAsia"/>
                <w:b w:val="0"/>
                <w:bCs w:val="0"/>
                <w:color w:val="auto"/>
                <w:lang w:val="en-US" w:eastAsia="zh-CN"/>
              </w:rPr>
              <w:t xml:space="preserve">  监视测量设备有：</w:t>
            </w:r>
            <w:r>
              <w:rPr>
                <w:rFonts w:hint="eastAsia"/>
              </w:rPr>
              <w:t>大数据云平台</w:t>
            </w:r>
            <w:r>
              <w:rPr>
                <w:rFonts w:hint="eastAsia"/>
                <w:lang w:val="en-US" w:eastAsia="zh-CN"/>
              </w:rPr>
              <w:t xml:space="preserve"> V1.0</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b w:val="0"/>
                <w:bCs w:val="0"/>
                <w:sz w:val="21"/>
                <w:lang w:val="en-US" w:eastAsia="zh-CN"/>
              </w:rPr>
              <w:t>2020</w:t>
            </w:r>
            <w:r>
              <w:rPr>
                <w:rFonts w:hint="eastAsia"/>
                <w:b w:val="0"/>
                <w:bCs w:val="0"/>
                <w:sz w:val="21"/>
              </w:rPr>
              <w:t>年</w:t>
            </w:r>
            <w:r>
              <w:rPr>
                <w:rFonts w:hint="eastAsia"/>
                <w:b w:val="0"/>
                <w:bCs w:val="0"/>
                <w:sz w:val="21"/>
                <w:lang w:val="en-US" w:eastAsia="zh-CN"/>
              </w:rPr>
              <w:t>4</w:t>
            </w:r>
            <w:r>
              <w:rPr>
                <w:rFonts w:hint="eastAsia"/>
                <w:b w:val="0"/>
                <w:bCs w:val="0"/>
                <w:sz w:val="21"/>
              </w:rPr>
              <w:t>月</w:t>
            </w:r>
            <w:r>
              <w:rPr>
                <w:rFonts w:hint="eastAsia"/>
                <w:b w:val="0"/>
                <w:bCs w:val="0"/>
                <w:sz w:val="21"/>
                <w:lang w:val="en-US" w:eastAsia="zh-CN"/>
              </w:rPr>
              <w:t>26</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b w:val="0"/>
                <w:bCs w:val="0"/>
                <w:sz w:val="21"/>
                <w:szCs w:val="22"/>
                <w:lang w:val="en-US" w:eastAsia="zh-CN"/>
              </w:rPr>
              <w:t>2020</w:t>
            </w:r>
            <w:r>
              <w:rPr>
                <w:rFonts w:hint="eastAsia"/>
                <w:b w:val="0"/>
                <w:bCs w:val="0"/>
                <w:sz w:val="21"/>
                <w:szCs w:val="22"/>
              </w:rPr>
              <w:t>年</w:t>
            </w:r>
            <w:r>
              <w:rPr>
                <w:rFonts w:hint="eastAsia"/>
                <w:b w:val="0"/>
                <w:bCs w:val="0"/>
                <w:sz w:val="21"/>
                <w:szCs w:val="22"/>
                <w:lang w:val="en-US" w:eastAsia="zh-CN"/>
              </w:rPr>
              <w:t>4</w:t>
            </w:r>
            <w:r>
              <w:rPr>
                <w:rFonts w:hint="eastAsia"/>
                <w:b w:val="0"/>
                <w:bCs w:val="0"/>
                <w:sz w:val="21"/>
                <w:szCs w:val="22"/>
              </w:rPr>
              <w:t>月</w:t>
            </w:r>
            <w:r>
              <w:rPr>
                <w:rFonts w:hint="eastAsia"/>
                <w:b w:val="0"/>
                <w:bCs w:val="0"/>
                <w:sz w:val="21"/>
                <w:szCs w:val="22"/>
                <w:lang w:val="en-US" w:eastAsia="zh-CN"/>
              </w:rPr>
              <w:t>26</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b w:val="0"/>
                <w:bCs w:val="0"/>
                <w:sz w:val="21"/>
                <w:szCs w:val="22"/>
              </w:rPr>
            </w:pPr>
            <w:r>
              <w:rPr>
                <w:rFonts w:hint="eastAsia"/>
                <w:b w:val="0"/>
                <w:bCs w:val="0"/>
                <w:sz w:val="21"/>
                <w:szCs w:val="22"/>
              </w:rPr>
              <w:t>总经理</w:t>
            </w:r>
            <w:r>
              <w:rPr>
                <w:rFonts w:hint="eastAsia"/>
                <w:b w:val="0"/>
                <w:bCs w:val="0"/>
                <w:sz w:val="21"/>
                <w:szCs w:val="22"/>
              </w:rPr>
              <w:tab/>
            </w:r>
            <w:r>
              <w:rPr>
                <w:rFonts w:hint="eastAsia"/>
                <w:b w:val="0"/>
                <w:bCs w:val="0"/>
                <w:sz w:val="21"/>
                <w:szCs w:val="22"/>
                <w:lang w:val="en-US" w:eastAsia="zh-CN"/>
              </w:rPr>
              <w:t xml:space="preserve"> </w:t>
            </w:r>
            <w:r>
              <w:rPr>
                <w:rFonts w:hint="default"/>
                <w:lang w:val="en-US" w:eastAsia="zh-CN"/>
              </w:rPr>
              <w:t>顾振英</w:t>
            </w:r>
          </w:p>
          <w:p>
            <w:pPr>
              <w:rPr>
                <w:rFonts w:hint="eastAsia"/>
              </w:rPr>
            </w:pPr>
            <w:r>
              <w:rPr>
                <w:rFonts w:hint="eastAsia"/>
                <w:b w:val="0"/>
                <w:bCs w:val="0"/>
                <w:sz w:val="21"/>
                <w:szCs w:val="22"/>
              </w:rPr>
              <w:t>管理者代表</w:t>
            </w:r>
            <w:r>
              <w:rPr>
                <w:rFonts w:hint="eastAsia"/>
                <w:b w:val="0"/>
                <w:bCs w:val="0"/>
                <w:sz w:val="21"/>
                <w:szCs w:val="22"/>
              </w:rPr>
              <w:tab/>
            </w:r>
            <w:r>
              <w:rPr>
                <w:rFonts w:hint="eastAsia"/>
                <w:b w:val="0"/>
                <w:bCs w:val="0"/>
                <w:sz w:val="21"/>
                <w:szCs w:val="22"/>
              </w:rPr>
              <w:t xml:space="preserve"> </w:t>
            </w:r>
            <w:r>
              <w:rPr>
                <w:rFonts w:hint="default"/>
                <w:lang w:val="en-US" w:eastAsia="zh-CN"/>
              </w:rPr>
              <w:t>刘洋</w:t>
            </w:r>
            <w:r>
              <w:rPr>
                <w:rFonts w:hint="eastAsia" w:asciiTheme="minorEastAsia" w:hAnsiTheme="minorEastAsia" w:eastAsiaTheme="minorEastAsia" w:cstheme="minorEastAsia"/>
                <w:b w:val="0"/>
                <w:bCs w:val="0"/>
                <w:color w:val="auto"/>
                <w:sz w:val="21"/>
                <w:szCs w:val="21"/>
                <w:lang w:val="en-US" w:eastAsia="zh-CN"/>
              </w:rPr>
              <w:t xml:space="preserve"> </w:t>
            </w:r>
          </w:p>
          <w:p>
            <w:pPr>
              <w:rPr>
                <w:rFonts w:hint="eastAsia" w:ascii="宋体" w:hAnsi="宋体"/>
                <w:b w:val="0"/>
                <w:bCs w:val="0"/>
                <w:color w:val="auto"/>
                <w:sz w:val="21"/>
                <w:szCs w:val="21"/>
                <w:lang w:val="zh-CN" w:eastAsia="zh-CN"/>
              </w:rPr>
            </w:pPr>
            <w:r>
              <w:rPr>
                <w:rFonts w:hint="eastAsia"/>
                <w:lang w:eastAsia="zh-CN"/>
              </w:rPr>
              <w:t>参加人员还有</w:t>
            </w:r>
            <w:r>
              <w:rPr>
                <w:rFonts w:hint="default"/>
                <w:lang w:val="en-US" w:eastAsia="zh-CN"/>
              </w:rPr>
              <w:t>李鑫</w:t>
            </w:r>
            <w:r>
              <w:rPr>
                <w:rFonts w:hint="eastAsia"/>
                <w:lang w:val="en-US" w:eastAsia="zh-CN"/>
              </w:rPr>
              <w:t>-</w:t>
            </w:r>
            <w:r>
              <w:rPr>
                <w:rFonts w:hint="default"/>
                <w:lang w:val="en-US" w:eastAsia="zh-CN"/>
              </w:rPr>
              <w:t>业务部</w:t>
            </w:r>
            <w:r>
              <w:rPr>
                <w:rFonts w:hint="eastAsia"/>
                <w:lang w:val="en-US" w:eastAsia="zh-CN"/>
              </w:rPr>
              <w:t xml:space="preserve"> 、</w:t>
            </w:r>
            <w:r>
              <w:rPr>
                <w:rFonts w:hint="default"/>
                <w:lang w:val="en-US" w:eastAsia="zh-CN"/>
              </w:rPr>
              <w:t>赵风光</w:t>
            </w:r>
            <w:r>
              <w:rPr>
                <w:rFonts w:hint="default"/>
                <w:lang w:val="en-US" w:eastAsia="zh-CN"/>
              </w:rPr>
              <w:tab/>
            </w:r>
            <w:r>
              <w:rPr>
                <w:rFonts w:hint="eastAsia"/>
                <w:lang w:val="en-US" w:eastAsia="zh-CN"/>
              </w:rPr>
              <w:t>-</w:t>
            </w:r>
            <w:r>
              <w:rPr>
                <w:rFonts w:hint="default"/>
                <w:lang w:val="en-US" w:eastAsia="zh-CN"/>
              </w:rPr>
              <w:t>行政部</w:t>
            </w:r>
            <w:r>
              <w:rPr>
                <w:rFonts w:hint="eastAsia"/>
                <w:lang w:val="en-US" w:eastAsia="zh-CN"/>
              </w:rPr>
              <w:t xml:space="preserve">、 </w:t>
            </w:r>
            <w:r>
              <w:rPr>
                <w:rFonts w:hint="default"/>
                <w:lang w:val="en-US" w:eastAsia="zh-CN"/>
              </w:rPr>
              <w:t>马凯</w:t>
            </w:r>
            <w:r>
              <w:rPr>
                <w:rFonts w:hint="eastAsia"/>
                <w:lang w:val="en-US" w:eastAsia="zh-CN"/>
              </w:rPr>
              <w:t>-</w:t>
            </w:r>
            <w:r>
              <w:rPr>
                <w:rFonts w:hint="default"/>
                <w:lang w:val="en-US" w:eastAsia="zh-CN"/>
              </w:rPr>
              <w:t>技术部</w:t>
            </w:r>
            <w:r>
              <w:rPr>
                <w:rFonts w:hint="eastAsia" w:ascii="宋体" w:hAnsi="宋体"/>
                <w:b w:val="0"/>
                <w:bCs w:val="0"/>
                <w:color w:val="auto"/>
                <w:sz w:val="21"/>
                <w:szCs w:val="21"/>
                <w:lang w:val="en-US" w:eastAsia="zh-CN"/>
              </w:rPr>
              <w:t>等</w:t>
            </w:r>
          </w:p>
          <w:p>
            <w:pPr>
              <w:rPr>
                <w:rFonts w:hint="eastAsia"/>
                <w:b w:val="0"/>
                <w:bCs w:val="0"/>
                <w:sz w:val="21"/>
              </w:rPr>
            </w:pP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szCs w:val="22"/>
              </w:rPr>
            </w:pPr>
            <w:r>
              <w:rPr>
                <w:rFonts w:hint="eastAsia" w:eastAsia="宋体"/>
                <w:b w:val="0"/>
                <w:bCs w:val="0"/>
                <w:sz w:val="21"/>
                <w:szCs w:val="22"/>
              </w:rPr>
              <w:t>1、公司质量管理体系文件及其过程基本有效适宜，目前基本不需要大的更改，管理体系文件不需更改。</w:t>
            </w:r>
          </w:p>
          <w:p>
            <w:pPr>
              <w:ind w:firstLine="420" w:firstLineChars="200"/>
              <w:rPr>
                <w:rFonts w:hint="eastAsia" w:eastAsia="宋体"/>
                <w:b w:val="0"/>
                <w:bCs w:val="0"/>
                <w:sz w:val="21"/>
                <w:szCs w:val="22"/>
              </w:rPr>
            </w:pPr>
            <w:r>
              <w:rPr>
                <w:rFonts w:hint="eastAsia" w:eastAsia="宋体"/>
                <w:b w:val="0"/>
                <w:bCs w:val="0"/>
                <w:sz w:val="21"/>
                <w:szCs w:val="22"/>
              </w:rPr>
              <w:t>2、公司质量方针也基本适宜，目前基本不需更改。</w:t>
            </w:r>
          </w:p>
          <w:p>
            <w:pPr>
              <w:ind w:firstLine="420" w:firstLineChars="200"/>
              <w:rPr>
                <w:rFonts w:hint="eastAsia" w:eastAsia="宋体"/>
                <w:b w:val="0"/>
                <w:bCs w:val="0"/>
                <w:sz w:val="21"/>
                <w:szCs w:val="22"/>
              </w:rPr>
            </w:pPr>
            <w:r>
              <w:rPr>
                <w:rFonts w:hint="eastAsia" w:eastAsia="宋体"/>
                <w:b w:val="0"/>
                <w:bCs w:val="0"/>
                <w:sz w:val="21"/>
                <w:szCs w:val="22"/>
              </w:rPr>
              <w:t>3、公司组织结构、部门设置、职责分工，目标指标等方面也基本有效适宜，目前不需更改。</w:t>
            </w:r>
          </w:p>
          <w:p>
            <w:pPr>
              <w:ind w:firstLine="420" w:firstLineChars="200"/>
              <w:rPr>
                <w:rFonts w:hint="eastAsia" w:eastAsia="宋体"/>
                <w:b w:val="0"/>
                <w:bCs w:val="0"/>
                <w:sz w:val="21"/>
                <w:szCs w:val="22"/>
              </w:rPr>
            </w:pPr>
            <w:r>
              <w:rPr>
                <w:rFonts w:hint="eastAsia" w:eastAsia="宋体"/>
                <w:b w:val="0"/>
                <w:bCs w:val="0"/>
                <w:sz w:val="21"/>
                <w:szCs w:val="22"/>
              </w:rPr>
              <w:t>管理评审结论：本公司的质量管理体系基本适宜、充分和有效。</w:t>
            </w:r>
          </w:p>
          <w:p>
            <w:pPr>
              <w:ind w:firstLine="420" w:firstLineChars="200"/>
              <w:rPr>
                <w:rFonts w:hint="eastAsia" w:eastAsia="宋体"/>
                <w:b w:val="0"/>
                <w:bCs w:val="0"/>
                <w:sz w:val="21"/>
                <w:szCs w:val="22"/>
              </w:rPr>
            </w:pPr>
            <w:r>
              <w:rPr>
                <w:rFonts w:hint="eastAsia" w:eastAsia="宋体"/>
                <w:b w:val="0"/>
                <w:bCs w:val="0"/>
                <w:sz w:val="21"/>
                <w:szCs w:val="22"/>
              </w:rPr>
              <w:t>编制：</w:t>
            </w:r>
            <w:r>
              <w:rPr>
                <w:rFonts w:hint="eastAsia" w:eastAsia="宋体"/>
                <w:b w:val="0"/>
                <w:bCs w:val="0"/>
                <w:sz w:val="21"/>
                <w:szCs w:val="22"/>
                <w:lang w:val="en-US" w:eastAsia="zh-CN"/>
              </w:rPr>
              <w:t xml:space="preserve">行政部 </w:t>
            </w:r>
            <w:r>
              <w:rPr>
                <w:rFonts w:hint="eastAsia" w:eastAsia="宋体"/>
                <w:b w:val="0"/>
                <w:bCs w:val="0"/>
                <w:sz w:val="21"/>
                <w:szCs w:val="22"/>
              </w:rPr>
              <w:t xml:space="preserve"> 批准：</w:t>
            </w:r>
            <w:r>
              <w:rPr>
                <w:rFonts w:hint="default" w:eastAsia="宋体"/>
                <w:b w:val="0"/>
                <w:bCs w:val="0"/>
                <w:sz w:val="21"/>
                <w:szCs w:val="22"/>
                <w:lang w:val="en-US" w:eastAsia="zh-CN"/>
              </w:rPr>
              <w:t>顾振英</w:t>
            </w:r>
            <w:r>
              <w:rPr>
                <w:rFonts w:hint="eastAsia" w:eastAsia="宋体"/>
                <w:b w:val="0"/>
                <w:bCs w:val="0"/>
                <w:sz w:val="21"/>
                <w:szCs w:val="22"/>
                <w:lang w:val="en-US" w:eastAsia="zh-CN"/>
              </w:rPr>
              <w:t xml:space="preserve"> 2020</w:t>
            </w:r>
            <w:r>
              <w:rPr>
                <w:rFonts w:hint="eastAsia" w:eastAsia="宋体"/>
                <w:b w:val="0"/>
                <w:bCs w:val="0"/>
                <w:sz w:val="21"/>
                <w:szCs w:val="22"/>
              </w:rPr>
              <w:t>年</w:t>
            </w:r>
            <w:r>
              <w:rPr>
                <w:rFonts w:hint="eastAsia" w:eastAsia="宋体"/>
                <w:b w:val="0"/>
                <w:bCs w:val="0"/>
                <w:sz w:val="21"/>
                <w:szCs w:val="22"/>
                <w:lang w:val="en-US" w:eastAsia="zh-CN"/>
              </w:rPr>
              <w:t>4</w:t>
            </w:r>
            <w:r>
              <w:rPr>
                <w:rFonts w:hint="eastAsia" w:eastAsia="宋体"/>
                <w:b w:val="0"/>
                <w:bCs w:val="0"/>
                <w:sz w:val="21"/>
                <w:szCs w:val="22"/>
              </w:rPr>
              <w:t>月</w:t>
            </w:r>
            <w:r>
              <w:rPr>
                <w:rFonts w:hint="eastAsia" w:eastAsia="宋体"/>
                <w:b w:val="0"/>
                <w:bCs w:val="0"/>
                <w:sz w:val="21"/>
                <w:szCs w:val="22"/>
                <w:lang w:val="en-US" w:eastAsia="zh-CN"/>
              </w:rPr>
              <w:t>26</w:t>
            </w:r>
            <w:r>
              <w:rPr>
                <w:rFonts w:hint="eastAsia" w:eastAsia="宋体"/>
                <w:b w:val="0"/>
                <w:bCs w:val="0"/>
                <w:sz w:val="21"/>
                <w:szCs w:val="22"/>
              </w:rPr>
              <w:t>日</w:t>
            </w:r>
          </w:p>
          <w:p>
            <w:pPr>
              <w:ind w:firstLine="420" w:firstLineChars="200"/>
              <w:rPr>
                <w:rFonts w:hint="eastAsia" w:eastAsia="宋体"/>
                <w:b w:val="0"/>
                <w:bCs w:val="0"/>
                <w:sz w:val="21"/>
                <w:szCs w:val="22"/>
              </w:rPr>
            </w:pPr>
            <w:r>
              <w:rPr>
                <w:rFonts w:hint="eastAsia" w:eastAsia="宋体"/>
                <w:b w:val="0"/>
                <w:bCs w:val="0"/>
                <w:sz w:val="21"/>
                <w:szCs w:val="22"/>
              </w:rPr>
              <w:t>管理评审改进决议：</w:t>
            </w:r>
          </w:p>
          <w:p>
            <w:pPr>
              <w:ind w:firstLine="420" w:firstLineChars="200"/>
              <w:rPr>
                <w:b w:val="0"/>
                <w:bCs w:val="0"/>
              </w:rPr>
            </w:pPr>
            <w:r>
              <w:rPr>
                <w:rFonts w:hint="eastAsia" w:eastAsia="宋体"/>
                <w:b w:val="0"/>
                <w:bCs w:val="0"/>
                <w:sz w:val="21"/>
                <w:szCs w:val="22"/>
              </w:rPr>
              <w:t>加强员工对质量管理体系标准条款内容的培训，具体由后勤部负责，20</w:t>
            </w:r>
            <w:r>
              <w:rPr>
                <w:rFonts w:hint="eastAsia" w:eastAsia="宋体"/>
                <w:b w:val="0"/>
                <w:bCs w:val="0"/>
                <w:sz w:val="21"/>
                <w:szCs w:val="22"/>
                <w:lang w:val="en-US" w:eastAsia="zh-CN"/>
              </w:rPr>
              <w:t>20</w:t>
            </w:r>
            <w:r>
              <w:rPr>
                <w:rFonts w:hint="eastAsia" w:eastAsia="宋体"/>
                <w:b w:val="0"/>
                <w:bCs w:val="0"/>
                <w:sz w:val="21"/>
                <w:szCs w:val="22"/>
              </w:rPr>
              <w:t>年12月底前落实。</w:t>
            </w:r>
            <w:r>
              <w:rPr>
                <w:rFonts w:hint="eastAsia" w:eastAsia="宋体"/>
                <w:b w:val="0"/>
                <w:bCs w:val="0"/>
                <w:sz w:val="21"/>
                <w:szCs w:val="22"/>
              </w:rPr>
              <w:tab/>
            </w:r>
            <w:r>
              <w:rPr>
                <w:rFonts w:hint="eastAsia" w:eastAsia="宋体"/>
                <w:b w:val="0"/>
                <w:bCs w:val="0"/>
                <w:sz w:val="21"/>
                <w:szCs w:val="22"/>
              </w:rPr>
              <w:t>20</w:t>
            </w:r>
            <w:r>
              <w:rPr>
                <w:rFonts w:hint="eastAsia" w:eastAsia="宋体"/>
                <w:b w:val="0"/>
                <w:bCs w:val="0"/>
                <w:sz w:val="21"/>
                <w:szCs w:val="22"/>
                <w:lang w:val="en-US" w:eastAsia="zh-CN"/>
              </w:rPr>
              <w:t>20</w:t>
            </w:r>
            <w:r>
              <w:rPr>
                <w:rFonts w:hint="eastAsia" w:eastAsia="宋体"/>
                <w:b w:val="0"/>
                <w:bCs w:val="0"/>
                <w:sz w:val="21"/>
                <w:szCs w:val="22"/>
              </w:rPr>
              <w:t>年</w:t>
            </w:r>
            <w:r>
              <w:rPr>
                <w:rFonts w:hint="eastAsia" w:eastAsia="宋体"/>
                <w:b w:val="0"/>
                <w:bCs w:val="0"/>
                <w:sz w:val="21"/>
                <w:szCs w:val="22"/>
                <w:lang w:val="en-US" w:eastAsia="zh-CN"/>
              </w:rPr>
              <w:t>12</w:t>
            </w:r>
            <w:r>
              <w:rPr>
                <w:rFonts w:hint="eastAsia" w:eastAsia="宋体"/>
                <w:b w:val="0"/>
                <w:bCs w:val="0"/>
                <w:sz w:val="21"/>
                <w:szCs w:val="22"/>
              </w:rPr>
              <w:t>月底完成，下次审核关注。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5316FFF"/>
    <w:rsid w:val="0CB6190D"/>
    <w:rsid w:val="108219C2"/>
    <w:rsid w:val="175B1915"/>
    <w:rsid w:val="2281642C"/>
    <w:rsid w:val="454D3B2E"/>
    <w:rsid w:val="48A061D9"/>
    <w:rsid w:val="4A1B5E88"/>
    <w:rsid w:val="508B3554"/>
    <w:rsid w:val="532325DA"/>
    <w:rsid w:val="55DF3133"/>
    <w:rsid w:val="5EA12B9A"/>
    <w:rsid w:val="642A3F2E"/>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2020-06-23T06:08:52Z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