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博林中凯（北京）科技有限公司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33.03.01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博林中凯（北京）科技有限公司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北京市海淀区昌运宫7号楼1幢3层3098</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北京市海淀区昌运宫7号楼1幢3层3098</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刘洋</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18511522226</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顾振英</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刘洋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2"/>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数据处理（数据处理中的银行卡中心、PUE值在1.4以上的云计算数据中心除外）</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33.03.01</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2019.11.10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行政部</w:t>
            </w:r>
          </w:p>
        </w:tc>
        <w:tc>
          <w:tcPr>
            <w:tcW w:w="6804" w:type="dxa"/>
            <w:vAlign w:val="top"/>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负责质量管理体系文件的编写、修改、保持和贯彻执行；</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负责做好文件标识、分类、归档、管理和追踪，确保文件为最新有效版本；</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负责公司机关办公设备计划的制订、采购、进货检查、验收、归档；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负责公司内部信息的传递；</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负责公司资质、证件、印信管理；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处理日常事务和外部联系；</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负责制定公司教育培训规划和年度培训计划，并负责组织实施；</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负责公司人力资源的管理；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负责公司人员的年度业绩考核，并建档；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负责内部审核和管理评审的组织实施。</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业务</w:t>
            </w:r>
            <w:r>
              <w:rPr>
                <w:rFonts w:hint="eastAsia" w:ascii="宋体" w:hAnsi="宋体"/>
                <w:b/>
                <w:color w:val="000000" w:themeColor="text1"/>
                <w:sz w:val="20"/>
                <w:szCs w:val="20"/>
                <w:lang w:eastAsia="zh-CN"/>
              </w:rPr>
              <w:t>部</w:t>
            </w:r>
          </w:p>
        </w:tc>
        <w:tc>
          <w:tcPr>
            <w:tcW w:w="6804" w:type="dxa"/>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a、负责合同的评审、签订和与顾客沟通等方面重大的活动；</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b、并负责顾客对公司满意程度的测量；</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C、负责向相关方宣传公司的质量方针；</w:t>
            </w:r>
            <w:r>
              <w:rPr>
                <w:rFonts w:hint="eastAsia" w:ascii="宋体" w:hAnsi="宋体" w:cs="宋体"/>
                <w:color w:val="auto"/>
                <w:sz w:val="21"/>
                <w:szCs w:val="21"/>
                <w:lang w:val="en-US" w:eastAsia="zh-CN"/>
              </w:rPr>
              <w:br w:type="textWrapping"/>
            </w:r>
            <w:r>
              <w:rPr>
                <w:rFonts w:hint="eastAsia" w:ascii="宋体" w:hAnsi="宋体" w:cs="宋体"/>
                <w:color w:val="auto"/>
                <w:sz w:val="21"/>
                <w:szCs w:val="21"/>
                <w:lang w:val="en-US" w:eastAsia="zh-CN"/>
              </w:rPr>
              <w:t>e、熟悉本部门适用的法规和其它要求；</w:t>
            </w:r>
            <w:r>
              <w:rPr>
                <w:rFonts w:hint="eastAsia" w:ascii="宋体" w:hAnsi="宋体" w:cs="宋体"/>
                <w:color w:val="auto"/>
                <w:sz w:val="21"/>
                <w:szCs w:val="21"/>
                <w:lang w:val="en-US" w:eastAsia="zh-CN"/>
              </w:rPr>
              <w:br w:type="textWrapping"/>
            </w:r>
            <w:r>
              <w:rPr>
                <w:rFonts w:hint="eastAsia" w:ascii="宋体" w:hAnsi="宋体" w:cs="宋体"/>
                <w:color w:val="auto"/>
                <w:sz w:val="21"/>
                <w:szCs w:val="21"/>
                <w:lang w:val="en-US" w:eastAsia="zh-CN"/>
              </w:rPr>
              <w:t>f、制定并落实本部门目标和指标；</w:t>
            </w:r>
            <w:r>
              <w:rPr>
                <w:rFonts w:hint="eastAsia" w:ascii="宋体" w:hAnsi="宋体" w:cs="宋体"/>
                <w:color w:val="auto"/>
                <w:sz w:val="21"/>
                <w:szCs w:val="21"/>
                <w:lang w:val="en-US" w:eastAsia="zh-CN"/>
              </w:rPr>
              <w:br w:type="textWrapping"/>
            </w:r>
            <w:r>
              <w:rPr>
                <w:rFonts w:hint="eastAsia" w:ascii="宋体" w:hAnsi="宋体" w:cs="宋体"/>
                <w:color w:val="auto"/>
                <w:sz w:val="21"/>
                <w:szCs w:val="21"/>
                <w:lang w:val="en-US" w:eastAsia="zh-CN"/>
              </w:rPr>
              <w:t xml:space="preserve">g、负责确定培训需求，参与公司培训计划的制定； </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numPr>
                <w:ilvl w:val="0"/>
                <w:numId w:val="0"/>
              </w:numPr>
              <w:rPr>
                <w:rFonts w:hint="eastAsia" w:ascii="宋体" w:hAnsi="宋体"/>
                <w:szCs w:val="21"/>
                <w:lang w:val="en-US" w:eastAsia="zh-CN"/>
              </w:rPr>
            </w:pPr>
            <w:r>
              <w:rPr>
                <w:rFonts w:hint="eastAsia" w:cs="Lucida Sans"/>
                <w:b w:val="0"/>
                <w:bCs/>
                <w:szCs w:val="20"/>
                <w:lang w:val="en-US" w:eastAsia="zh-CN"/>
              </w:rPr>
              <w:t>1.策划、实施</w:t>
            </w:r>
            <w:r>
              <w:rPr>
                <w:rFonts w:hint="eastAsia" w:ascii="宋体" w:hAnsi="宋体"/>
                <w:szCs w:val="21"/>
              </w:rPr>
              <w:t>数据处理（数据处理中的银行卡中心、PUE值在1.4以上的云计算数据中心除外）</w:t>
            </w:r>
            <w:r>
              <w:rPr>
                <w:rFonts w:hint="eastAsia" w:ascii="宋体" w:hAnsi="宋体"/>
                <w:szCs w:val="21"/>
                <w:lang w:val="en-US" w:eastAsia="zh-CN"/>
              </w:rPr>
              <w:t>的技术服务活动</w:t>
            </w:r>
          </w:p>
          <w:p>
            <w:pPr>
              <w:pStyle w:val="2"/>
              <w:numPr>
                <w:ilvl w:val="0"/>
                <w:numId w:val="0"/>
              </w:numPr>
              <w:rPr>
                <w:rFonts w:hint="default"/>
                <w:lang w:val="en-US" w:eastAsia="zh-CN"/>
              </w:rPr>
            </w:pPr>
            <w:r>
              <w:rPr>
                <w:rFonts w:hint="eastAsia"/>
                <w:lang w:val="en-US" w:eastAsia="zh-CN"/>
              </w:rPr>
              <w:t>2.对数据管理过程进行监督管理工作</w:t>
            </w:r>
          </w:p>
          <w:p>
            <w:pPr>
              <w:pStyle w:val="2"/>
              <w:numPr>
                <w:ilvl w:val="0"/>
                <w:numId w:val="0"/>
              </w:numPr>
              <w:rPr>
                <w:rFonts w:hint="eastAsia"/>
                <w:lang w:val="en-US" w:eastAsia="zh-CN"/>
              </w:rPr>
            </w:pPr>
            <w:r>
              <w:rPr>
                <w:rFonts w:hint="eastAsia"/>
                <w:lang w:val="en-US" w:eastAsia="zh-CN"/>
              </w:rPr>
              <w:t>3.负责不合格品的控制、数据处理的放行</w:t>
            </w:r>
          </w:p>
          <w:p>
            <w:pPr>
              <w:pStyle w:val="2"/>
              <w:numPr>
                <w:ilvl w:val="0"/>
                <w:numId w:val="0"/>
              </w:numPr>
              <w:rPr>
                <w:rFonts w:hint="default"/>
                <w:lang w:val="en-US" w:eastAsia="zh-CN"/>
              </w:rPr>
            </w:pPr>
            <w:r>
              <w:rPr>
                <w:rFonts w:hint="eastAsia"/>
                <w:lang w:val="en-US" w:eastAsia="zh-CN"/>
              </w:rPr>
              <w:t>4.对数据处理设备的管理等</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2019</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11</w:t>
      </w:r>
      <w:r>
        <w:rPr>
          <w:rFonts w:hint="eastAsia"/>
          <w:b/>
          <w:color w:val="auto"/>
          <w:spacing w:val="-10"/>
          <w:szCs w:val="21"/>
        </w:rPr>
        <w:t>月</w:t>
      </w:r>
      <w:bookmarkStart w:id="2" w:name="OLE_LINK1"/>
      <w:r>
        <w:rPr>
          <w:rFonts w:hint="eastAsia"/>
          <w:b/>
          <w:color w:val="auto"/>
          <w:spacing w:val="-10"/>
          <w:szCs w:val="21"/>
          <w:u w:val="single"/>
          <w:lang w:val="en-US" w:eastAsia="zh-CN"/>
        </w:rPr>
        <w:t>10</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博林中凯（北京）科技有限公司</w:t>
            </w:r>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注册地址：北京市海淀区昌运宫7号楼1幢3层3098。</w:t>
            </w:r>
          </w:p>
          <w:p>
            <w:p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查营业执照，统一社会信用代码：911101115712357787</w:t>
            </w:r>
          </w:p>
          <w:p>
            <w:pPr>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成立日期：2011-03-25 - 2041-03-24</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法人代表：顾振英 ，注册资本：5100.00万人民币</w:t>
            </w:r>
          </w:p>
          <w:p>
            <w:pPr>
              <w:pStyle w:val="2"/>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技术开发、技术推广、技术转让、技术咨询、技术服务；设计、制作、代理、发布广告；市场调查；计算机系统集成；数据处理（数据处理中的银行卡中心、PUE值在1.4以上的云计算数据中心除外）；软件开发；销售自行开发的产品；销售计算机、软件及辅助设备、机械设备、电子产品、通讯设备（不得从事实体店铺经营）；企业管理咨询；软件咨询；产品设计。（市场主体依法自主选择经营项目，开展经营活动；依法须经批准的项目，经相关部门批准后依批准的内容开展经营活动；不得从事国家和本市产业政策禁止和限制类项目的经营活动。）</w:t>
            </w:r>
          </w:p>
          <w:p>
            <w:pPr>
              <w:pStyle w:val="2"/>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2"/>
              <w:rPr>
                <w:rFonts w:hint="eastAsia" w:ascii="宋体" w:hAnsi="宋体"/>
                <w:szCs w:val="21"/>
                <w:lang w:val="en-US" w:eastAsia="zh-CN"/>
              </w:rPr>
            </w:pPr>
            <w:r>
              <w:rPr>
                <w:rFonts w:hint="eastAsia" w:ascii="宋体" w:hAnsi="宋体" w:eastAsia="宋体" w:cs="宋体"/>
                <w:bCs/>
                <w:color w:val="auto"/>
                <w:spacing w:val="10"/>
                <w:kern w:val="0"/>
                <w:sz w:val="21"/>
                <w:szCs w:val="21"/>
                <w:lang w:val="en-US" w:eastAsia="zh-CN" w:bidi="ar-SA"/>
              </w:rPr>
              <w:t>数据处理（数据处理中的银行卡中心、PUE值在1.4以上的云计算数据中心除外）</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8.3条款不适用，理由：</w:t>
            </w:r>
            <w:r>
              <w:rPr>
                <w:rFonts w:hint="eastAsia" w:ascii="宋体" w:hAnsi="宋体" w:eastAsia="宋体" w:cs="宋体"/>
                <w:color w:val="auto"/>
                <w:kern w:val="0"/>
                <w:sz w:val="21"/>
                <w:szCs w:val="21"/>
                <w:lang w:val="en-US" w:eastAsia="zh-CN"/>
              </w:rPr>
              <w:t>其</w:t>
            </w:r>
            <w:r>
              <w:rPr>
                <w:rFonts w:hint="eastAsia" w:ascii="宋体" w:hAnsi="宋体" w:cs="宋体"/>
                <w:color w:val="auto"/>
                <w:kern w:val="0"/>
                <w:sz w:val="21"/>
                <w:szCs w:val="21"/>
                <w:lang w:val="en-US" w:eastAsia="zh-CN"/>
              </w:rPr>
              <w:t>数据处理按照顾客及合同的要求，</w:t>
            </w:r>
            <w:r>
              <w:rPr>
                <w:rFonts w:hint="default"/>
                <w:lang w:val="en-US" w:eastAsia="zh-CN"/>
              </w:rPr>
              <w:t>该条款的不适用,不影响组织确保其产品和服务合格的能力和责任，也不会对增强顾客满意产生影响</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2"/>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品质第一，诚信服务，确保顾客满意；</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精益求精，持续改进，促进公司发展。</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2019</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spacing w:after="100" w:line="360" w:lineRule="auto"/>
              <w:rPr>
                <w:rFonts w:hint="eastAsia" w:hAnsi="宋体" w:cs="宋体"/>
                <w:b/>
                <w:bCs/>
                <w:sz w:val="32"/>
                <w:szCs w:val="32"/>
              </w:rPr>
            </w:pPr>
            <w:r>
              <w:rPr>
                <w:rFonts w:hint="eastAsia" w:ascii="Arial" w:hAnsi="Arial" w:cs="Arial"/>
                <w:b/>
                <w:bCs/>
                <w:color w:val="000000"/>
                <w:kern w:val="0"/>
                <w:szCs w:val="21"/>
                <w:lang w:eastAsia="zh-CN"/>
              </w:rPr>
              <w:t>数据处理（数据处理中的银行卡中心、PUE值在1.4以上的云计算数据中心除外）</w:t>
            </w:r>
            <w:r>
              <w:rPr>
                <w:rFonts w:hint="eastAsia" w:ascii="Arial" w:hAnsi="Arial" w:cs="Arial"/>
                <w:b/>
                <w:bCs/>
                <w:color w:val="000000"/>
                <w:kern w:val="0"/>
                <w:szCs w:val="21"/>
              </w:rPr>
              <w:t>流程：</w:t>
            </w:r>
          </w:p>
          <w:p>
            <w:pPr>
              <w:rPr>
                <w:rFonts w:hint="eastAsia"/>
                <w:b/>
              </w:rPr>
            </w:pPr>
            <w:r>
              <w:rPr>
                <w:rFonts w:hint="eastAsia" w:eastAsia="宋体"/>
                <w:color w:val="000000"/>
                <w:sz w:val="24"/>
                <w:lang w:val="en-US" w:eastAsia="zh-CN"/>
              </w:rPr>
              <w:t>数据处理流程：顾客沟通—合同评审—签订合同---数据整理---数据清洗---数据处理---数据上线测试--数据调优--数据维护---故障处理 ---客户验收--后续服务</w:t>
            </w:r>
          </w:p>
          <w:p>
            <w:pPr>
              <w:pStyle w:val="2"/>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ascii="Arial" w:hAnsi="Arial" w:cs="Arial"/>
                <w:b/>
                <w:bCs/>
                <w:color w:val="000000"/>
                <w:kern w:val="0"/>
                <w:szCs w:val="21"/>
                <w:lang w:eastAsia="zh-CN"/>
              </w:rPr>
              <w:t>数据处理</w:t>
            </w:r>
            <w:r>
              <w:rPr>
                <w:rFonts w:hint="eastAsia" w:ascii="宋体" w:hAnsi="宋体"/>
                <w:b/>
                <w:color w:val="000000" w:themeColor="text1"/>
                <w:sz w:val="20"/>
                <w:szCs w:val="20"/>
                <w:u w:val="single"/>
                <w:lang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Arial" w:hAnsi="Arial" w:cs="Arial"/>
                <w:b/>
                <w:bCs/>
                <w:color w:val="000000"/>
                <w:kern w:val="0"/>
                <w:szCs w:val="21"/>
                <w:lang w:eastAsia="zh-CN"/>
              </w:rPr>
              <w:t>数据处理</w:t>
            </w:r>
            <w:r>
              <w:rPr>
                <w:rFonts w:hint="eastAsia" w:ascii="宋体" w:hAnsi="宋体"/>
                <w:b/>
                <w:color w:val="000000" w:themeColor="text1"/>
                <w:sz w:val="20"/>
                <w:szCs w:val="20"/>
                <w:u w:val="single"/>
                <w:lang w:eastAsia="zh-CN"/>
              </w:rPr>
              <w:t>过程</w:t>
            </w: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none"/>
              </w:rPr>
              <w:t xml:space="preserve"> </w:t>
            </w:r>
            <w:r>
              <w:rPr>
                <w:rFonts w:hint="default"/>
                <w:lang w:val="en-US" w:eastAsia="zh-CN"/>
              </w:rPr>
              <w:t>因该公司的</w:t>
            </w:r>
            <w:r>
              <w:rPr>
                <w:rFonts w:hint="eastAsia" w:ascii="Arial" w:hAnsi="Arial" w:cs="Arial"/>
                <w:b/>
                <w:bCs/>
                <w:color w:val="000000"/>
                <w:kern w:val="0"/>
                <w:szCs w:val="21"/>
                <w:lang w:eastAsia="zh-CN"/>
              </w:rPr>
              <w:t>数据处理</w:t>
            </w:r>
            <w:r>
              <w:rPr>
                <w:rFonts w:hint="default"/>
                <w:lang w:val="en-US" w:eastAsia="zh-CN"/>
              </w:rPr>
              <w:t>技术服务，按照顾客的要求进行，该条款的不适用,不影响组织确保其产品和服务合格的能力和责任，也不会对增强顾客满意产生影响</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50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18</w:t>
            </w:r>
            <w:r>
              <w:rPr>
                <w:rFonts w:hint="eastAsia"/>
                <w:bCs/>
                <w:szCs w:val="21"/>
              </w:rPr>
              <w:t>人，管理人员</w:t>
            </w:r>
            <w:r>
              <w:rPr>
                <w:rFonts w:hint="eastAsia"/>
                <w:bCs/>
                <w:color w:val="auto"/>
                <w:szCs w:val="21"/>
                <w:lang w:val="en-US" w:eastAsia="zh-CN"/>
              </w:rPr>
              <w:t>4</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数据处理（数据处理中的银行卡中心、PUE值在1.4以上的云计算数据中心除外）</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hint="default"/>
                <w:lang w:val="en-US" w:eastAsia="zh-CN"/>
              </w:rPr>
            </w:pPr>
            <w:r>
              <w:rPr>
                <w:rFonts w:hint="eastAsia" w:ascii="宋体" w:hAnsi="宋体"/>
                <w:b w:val="0"/>
                <w:bCs w:val="0"/>
                <w:color w:val="auto"/>
                <w:sz w:val="21"/>
                <w:szCs w:val="21"/>
                <w:lang w:val="en-US" w:eastAsia="zh-CN"/>
              </w:rPr>
              <w:t>数据处理设备：</w:t>
            </w:r>
            <w:r>
              <w:rPr>
                <w:rFonts w:hint="eastAsia" w:ascii="宋体" w:hAnsi="宋体" w:cs="Arial"/>
                <w:sz w:val="24"/>
                <w:lang w:val="en-US" w:eastAsia="zh-CN"/>
              </w:rPr>
              <w:t>通信交换设备*交换机、其他电子设备*服务器、电子计算机*机柜、电子计算机*工作站、计算机外部设备*存储、信息安全产品*防火墙等</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default" w:eastAsia="宋体"/>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大数据云平台</w:t>
            </w:r>
            <w:r>
              <w:rPr>
                <w:rFonts w:hint="eastAsia"/>
                <w:lang w:val="en-US" w:eastAsia="zh-CN"/>
              </w:rPr>
              <w:t xml:space="preserve"> V1.0</w:t>
            </w:r>
          </w:p>
          <w:p>
            <w:pPr>
              <w:rPr>
                <w:rFonts w:hint="default"/>
                <w:b w:val="0"/>
                <w:bCs w:val="0"/>
                <w:lang w:val="en-US" w:eastAsia="zh-CN"/>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val="en-US" w:eastAsia="zh-CN"/>
              </w:rPr>
              <w:t>远程</w:t>
            </w:r>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2"/>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b/>
                <w:sz w:val="20"/>
                <w:szCs w:val="22"/>
                <w:lang w:val="en-US" w:eastAsia="zh-CN"/>
              </w:rPr>
              <w:t>数据处理过程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lang w:val="en-US" w:eastAsia="zh-CN"/>
              </w:rPr>
              <w:t>19</w:t>
            </w:r>
            <w:r>
              <w:rPr>
                <w:rFonts w:hint="eastAsia"/>
              </w:rPr>
              <w:t>年</w:t>
            </w:r>
            <w:r>
              <w:rPr>
                <w:rFonts w:hint="eastAsia"/>
                <w:lang w:val="en-US" w:eastAsia="zh-CN"/>
              </w:rPr>
              <w:t>9月</w:t>
            </w:r>
            <w:r>
              <w:rPr>
                <w:rFonts w:hint="eastAsia"/>
              </w:rPr>
              <w:t>-</w:t>
            </w:r>
            <w:r>
              <w:rPr>
                <w:rFonts w:hint="eastAsia"/>
                <w:lang w:val="en-US" w:eastAsia="zh-CN"/>
              </w:rPr>
              <w:t>2020年3</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月实施，满意度评价</w:t>
            </w:r>
            <w:r>
              <w:rPr>
                <w:rFonts w:hint="eastAsia" w:ascii="宋体" w:hAnsi="宋体" w:cs="宋体"/>
                <w:szCs w:val="21"/>
                <w:highlight w:val="none"/>
                <w:lang w:val="en-US" w:eastAsia="zh-CN"/>
              </w:rPr>
              <w:t>99</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本次远程审核基本达到审核要求，</w:t>
            </w:r>
            <w:r>
              <w:rPr>
                <w:rFonts w:hint="eastAsia"/>
              </w:rPr>
              <w:t>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bookmarkStart w:id="3" w:name="_GoBack"/>
            <w:bookmarkEnd w:id="3"/>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66" w:leftChars="-405" w:hanging="916" w:hangingChars="326"/>
        <w:jc w:val="left"/>
        <w:rPr>
          <w:rFonts w:hint="default" w:eastAsia="宋体"/>
          <w:b/>
          <w:color w:val="000000" w:themeColor="text1"/>
          <w:sz w:val="28"/>
          <w:szCs w:val="28"/>
          <w:lang w:val="en-US" w:eastAsia="zh-CN"/>
        </w:rPr>
      </w:pPr>
      <w:r>
        <w:rPr>
          <w:rFonts w:hint="eastAsia"/>
          <w:b/>
          <w:color w:val="000000" w:themeColor="text1"/>
          <w:sz w:val="28"/>
          <w:szCs w:val="28"/>
          <w:lang w:val="en-US" w:eastAsia="zh-CN"/>
        </w:rPr>
        <w:t>因疫情原因本次审核为远程审核，没有出具不符合，待疫情结束后，择日安排现场审核，对此次远程审核进行核验</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5" w:firstLineChars="250"/>
        <w:rPr>
          <w:b/>
          <w:color w:val="000000" w:themeColor="text1"/>
        </w:rPr>
      </w:pPr>
      <w:r>
        <w:drawing>
          <wp:anchor distT="0" distB="0" distL="114300" distR="114300" simplePos="0" relativeHeight="251677696" behindDoc="1" locked="0" layoutInCell="1" allowOverlap="1">
            <wp:simplePos x="0" y="0"/>
            <wp:positionH relativeFrom="column">
              <wp:posOffset>1963420</wp:posOffset>
            </wp:positionH>
            <wp:positionV relativeFrom="paragraph">
              <wp:posOffset>164465</wp:posOffset>
            </wp:positionV>
            <wp:extent cx="738505" cy="332105"/>
            <wp:effectExtent l="0" t="0" r="10795"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38505" cy="332105"/>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6</w:t>
      </w:r>
      <w:r>
        <w:rPr>
          <w:rFonts w:hint="eastAsia"/>
          <w:b/>
          <w:color w:val="000000" w:themeColor="text1"/>
          <w:szCs w:val="21"/>
        </w:rPr>
        <w:t xml:space="preserve">月  </w:t>
      </w:r>
      <w:r>
        <w:rPr>
          <w:rFonts w:hint="eastAsia"/>
          <w:b/>
          <w:color w:val="000000" w:themeColor="text1"/>
          <w:szCs w:val="21"/>
          <w:lang w:val="en-US" w:eastAsia="zh-CN"/>
        </w:rPr>
        <w:t>21</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BEA5AFC"/>
    <w:rsid w:val="0D441B7C"/>
    <w:rsid w:val="0FA36ED6"/>
    <w:rsid w:val="13BD568C"/>
    <w:rsid w:val="14E11A4F"/>
    <w:rsid w:val="1AEA3F06"/>
    <w:rsid w:val="1C440198"/>
    <w:rsid w:val="21611269"/>
    <w:rsid w:val="24F917BD"/>
    <w:rsid w:val="29B965E4"/>
    <w:rsid w:val="34345D17"/>
    <w:rsid w:val="3B126833"/>
    <w:rsid w:val="3C6210A8"/>
    <w:rsid w:val="4A577766"/>
    <w:rsid w:val="4B4A3A22"/>
    <w:rsid w:val="5CDD1C2D"/>
    <w:rsid w:val="68094112"/>
    <w:rsid w:val="68613608"/>
    <w:rsid w:val="710307B1"/>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0</TotalTime>
  <ScaleCrop>false</ScaleCrop>
  <LinksUpToDate>false</LinksUpToDate>
  <CharactersWithSpaces>5401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2020-06-23T06:14:42Z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