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14:textFill>
            <w14:solidFill>
              <w14:schemeClr w14:val="tx1"/>
            </w14:solidFill>
          </w14:textFill>
        </w:rPr>
      </w:pPr>
      <w:r>
        <w:rPr>
          <w:rFonts w:hint="eastAsia" w:ascii="隶书" w:hAnsi="宋体" w:eastAsia="隶书"/>
          <w:bCs/>
          <w:color w:val="000000" w:themeColor="text1"/>
          <w:sz w:val="36"/>
          <w:szCs w:val="36"/>
          <w14:textFill>
            <w14:solidFill>
              <w14:schemeClr w14:val="tx1"/>
            </w14:solidFill>
          </w14:textFill>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26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60" w:type="dxa"/>
            <w:vMerge w:val="restart"/>
          </w:tcPr>
          <w:p>
            <w:pPr>
              <w:spacing w:before="1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过程与活动、</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抽样计划</w:t>
            </w:r>
          </w:p>
        </w:tc>
        <w:tc>
          <w:tcPr>
            <w:tcW w:w="960" w:type="dxa"/>
            <w:vMerge w:val="restart"/>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涉及</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条款</w:t>
            </w:r>
          </w:p>
        </w:tc>
        <w:tc>
          <w:tcPr>
            <w:tcW w:w="10268"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受审核部门：</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管理层（含员工代表）</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总经理;</w:t>
            </w:r>
            <w:r>
              <w:rPr>
                <w:color w:val="000000" w:themeColor="text1"/>
                <w14:textFill>
                  <w14:solidFill>
                    <w14:schemeClr w14:val="tx1"/>
                  </w14:solidFill>
                </w14:textFill>
              </w:rPr>
              <w:t xml:space="preserve"> </w:t>
            </w:r>
            <w:r>
              <w:rPr>
                <w:rFonts w:hint="eastAsia"/>
                <w:color w:val="000000" w:themeColor="text1"/>
                <w:kern w:val="0"/>
                <w:sz w:val="22"/>
                <w14:textFill>
                  <w14:solidFill>
                    <w14:schemeClr w14:val="tx1"/>
                  </w14:solidFill>
                </w14:textFill>
              </w:rPr>
              <w:t>张清兰</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管代 </w:t>
            </w:r>
            <w:r>
              <w:rPr>
                <w:rFonts w:hint="eastAsia"/>
                <w:color w:val="000000" w:themeColor="text1"/>
                <w:kern w:val="0"/>
                <w:sz w:val="22"/>
                <w14:textFill>
                  <w14:solidFill>
                    <w14:schemeClr w14:val="tx1"/>
                  </w14:solidFill>
                </w14:textFill>
              </w:rPr>
              <w:t>郭树年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陪同人员：</w:t>
            </w:r>
            <w:r>
              <w:rPr>
                <w:rFonts w:hint="eastAsia"/>
                <w:color w:val="000000" w:themeColor="text1"/>
                <w:kern w:val="0"/>
                <w:sz w:val="22"/>
                <w14:textFill>
                  <w14:solidFill>
                    <w14:schemeClr w14:val="tx1"/>
                  </w14:solidFill>
                </w14:textFill>
              </w:rPr>
              <w:t>杨振兴</w:t>
            </w:r>
          </w:p>
        </w:tc>
        <w:tc>
          <w:tcPr>
            <w:tcW w:w="1321" w:type="dxa"/>
            <w:vMerge w:val="restart"/>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960"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spacing w:before="1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审核员：李京田        审核时间：2020年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日</w:t>
            </w:r>
          </w:p>
        </w:tc>
        <w:tc>
          <w:tcPr>
            <w:tcW w:w="1321"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960"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审核条款：</w:t>
            </w:r>
          </w:p>
          <w:p>
            <w:pPr>
              <w:rPr>
                <w:rFonts w:hint="eastAsia" w:ascii="宋体" w:hAnsi="宋体"/>
                <w:color w:val="000000" w:themeColor="text1"/>
                <w:sz w:val="18"/>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ES</w:t>
            </w:r>
            <w:r>
              <w:rPr>
                <w:rFonts w:ascii="宋体" w:hAnsi="宋体"/>
                <w:color w:val="000000" w:themeColor="text1"/>
                <w:sz w:val="18"/>
                <w14:textFill>
                  <w14:solidFill>
                    <w14:schemeClr w14:val="tx1"/>
                  </w14:solidFill>
                </w14:textFill>
              </w:rPr>
              <w:t>:4.1/4.2/4.3/4.4/5.1/5.2/5.3</w:t>
            </w:r>
            <w:r>
              <w:rPr>
                <w:rFonts w:hint="eastAsia" w:ascii="宋体" w:hAnsi="宋体"/>
                <w:color w:val="000000" w:themeColor="text1"/>
                <w:sz w:val="18"/>
                <w:lang w:val="en-US" w:eastAsia="zh-CN"/>
                <w14:textFill>
                  <w14:solidFill>
                    <w14:schemeClr w14:val="tx1"/>
                  </w14:solidFill>
                </w14:textFill>
              </w:rPr>
              <w:t>/</w:t>
            </w:r>
            <w:r>
              <w:rPr>
                <w:rFonts w:ascii="宋体" w:hAnsi="宋体"/>
                <w:color w:val="000000" w:themeColor="text1"/>
                <w:sz w:val="18"/>
                <w14:textFill>
                  <w14:solidFill>
                    <w14:schemeClr w14:val="tx1"/>
                  </w14:solidFill>
                </w14:textFill>
              </w:rPr>
              <w:t>6.1.1/6.1.4/6.2/7.1/</w:t>
            </w:r>
            <w:r>
              <w:rPr>
                <w:rFonts w:hint="eastAsia" w:ascii="宋体" w:hAnsi="宋体"/>
                <w:color w:val="000000" w:themeColor="text1"/>
                <w:sz w:val="18"/>
                <w14:textFill>
                  <w14:solidFill>
                    <w14:schemeClr w14:val="tx1"/>
                  </w14:solidFill>
                </w14:textFill>
              </w:rPr>
              <w:t>7.4/9.1.1/</w:t>
            </w:r>
            <w:r>
              <w:rPr>
                <w:rFonts w:ascii="宋体" w:hAnsi="宋体"/>
                <w:color w:val="000000" w:themeColor="text1"/>
                <w:sz w:val="18"/>
                <w14:textFill>
                  <w14:solidFill>
                    <w14:schemeClr w14:val="tx1"/>
                  </w14:solidFill>
                </w14:textFill>
              </w:rPr>
              <w:t>9.3/10.1/10.</w:t>
            </w:r>
            <w:r>
              <w:rPr>
                <w:rFonts w:hint="eastAsia" w:ascii="宋体" w:hAnsi="宋体"/>
                <w:color w:val="000000" w:themeColor="text1"/>
                <w:sz w:val="18"/>
                <w:lang w:val="en-US" w:eastAsia="zh-CN"/>
                <w14:textFill>
                  <w14:solidFill>
                    <w14:schemeClr w14:val="tx1"/>
                  </w14:solidFill>
                </w14:textFill>
              </w:rPr>
              <w:t>3</w:t>
            </w:r>
          </w:p>
          <w:p>
            <w:pPr>
              <w:pStyle w:val="2"/>
              <w:rPr>
                <w:rFonts w:hint="default"/>
                <w:color w:val="000000" w:themeColor="text1"/>
                <w:lang w:val="en-US" w:eastAsia="zh-CN"/>
                <w14:textFill>
                  <w14:solidFill>
                    <w14:schemeClr w14:val="tx1"/>
                  </w14:solidFill>
                </w14:textFill>
              </w:rPr>
            </w:pPr>
            <w:r>
              <w:rPr>
                <w:rFonts w:hint="eastAsia" w:ascii="宋体" w:hAnsi="宋体"/>
                <w:color w:val="000000" w:themeColor="text1"/>
                <w:sz w:val="18"/>
                <w:lang w:val="en-US" w:eastAsia="zh-CN"/>
                <w14:textFill>
                  <w14:solidFill>
                    <w14:schemeClr w14:val="tx1"/>
                  </w14:solidFill>
                </w14:textFill>
              </w:rPr>
              <w:t>S:5.4</w:t>
            </w:r>
          </w:p>
          <w:p>
            <w:pPr>
              <w:snapToGrid w:val="0"/>
              <w:spacing w:line="260" w:lineRule="exact"/>
              <w:rPr>
                <w:color w:val="000000" w:themeColor="text1"/>
                <w14:textFill>
                  <w14:solidFill>
                    <w14:schemeClr w14:val="tx1"/>
                  </w14:solidFill>
                </w14:textFill>
              </w:rPr>
            </w:pPr>
            <w:r>
              <w:rPr>
                <w:rFonts w:hint="eastAsia" w:ascii="宋体" w:hAnsi="宋体"/>
                <w:color w:val="000000" w:themeColor="text1"/>
                <w:sz w:val="18"/>
                <w14:textFill>
                  <w14:solidFill>
                    <w14:schemeClr w14:val="tx1"/>
                  </w14:solidFill>
                </w14:textFill>
              </w:rPr>
              <w:t>资质验证/范围再确认/一阶段问题验证/投诉或事故/政府主管部门监督抽查情况</w:t>
            </w:r>
          </w:p>
        </w:tc>
        <w:tc>
          <w:tcPr>
            <w:tcW w:w="1321" w:type="dxa"/>
            <w:vMerge w:val="continue"/>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资质</w:t>
            </w:r>
          </w:p>
          <w:p>
            <w:pPr>
              <w:rPr>
                <w:rFonts w:asciiTheme="minorEastAsia" w:hAnsiTheme="minorEastAsia" w:eastAsiaTheme="minorEastAsia" w:cstheme="minorEastAsia"/>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范围再确认</w:t>
            </w:r>
          </w:p>
          <w:p>
            <w:pPr>
              <w:rPr>
                <w:rFonts w:asciiTheme="minorEastAsia" w:hAnsiTheme="minorEastAsia" w:eastAsiaTheme="minorEastAsia" w:cstheme="minorEastAsia"/>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一阶段问题验证</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投诉或事故/政府主管部门监督抽查情况</w:t>
            </w:r>
          </w:p>
        </w:tc>
        <w:tc>
          <w:tcPr>
            <w:tcW w:w="960" w:type="dxa"/>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pPr>
            <w:r>
              <w:rPr>
                <w:rFonts w:hint="eastAsia"/>
                <w:color w:val="000000" w:themeColor="text1"/>
                <w:szCs w:val="22"/>
                <w14:textFill>
                  <w14:solidFill>
                    <w14:schemeClr w14:val="tx1"/>
                  </w14:solidFill>
                </w14:textFill>
              </w:rPr>
              <w:t>营业执照：</w:t>
            </w:r>
            <w:bookmarkStart w:id="0" w:name="组织名称"/>
            <w:r>
              <w:rPr>
                <w:color w:val="000000" w:themeColor="text1"/>
                <w:szCs w:val="21"/>
                <w14:textFill>
                  <w14:solidFill>
                    <w14:schemeClr w14:val="tx1"/>
                  </w14:solidFill>
                </w14:textFill>
              </w:rPr>
              <w:t>洁雅基业保洁服务（北京）有限</w:t>
            </w:r>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公司</w:t>
            </w:r>
            <w:bookmarkEnd w:id="0"/>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  注册地址：</w:t>
            </w:r>
            <w:bookmarkStart w:id="1" w:name="注册地址"/>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北京市房山区良乡凯旋大街建设路18号 D6966</w:t>
            </w:r>
            <w:bookmarkEnd w:id="1"/>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，经营地址：</w:t>
            </w:r>
            <w:bookmarkStart w:id="2" w:name="生产地址"/>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北京市东城区隆福寺99号金隆基大厦</w:t>
            </w:r>
            <w:bookmarkEnd w:id="2"/>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，统一社会信用代码：91110106678238725X；  经营期限：2008-07-09~2028-07-08。</w:t>
            </w:r>
          </w:p>
          <w:p>
            <w:pP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pPr>
            <w:r>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t>经营范围：洁雅基业保洁服务（北京）有限公司,2008-07-09日成立，经营范围：清洁服务（不含洗车服务）；家庭劳务服务；信息咨询；园林绿化服务；劳务分包；组织文化艺术交流活动（演出除外）；承办展览展示；技术开发、技术转让、技术服务；汽车装饰；销售日用杂品、家用电器、办公用品、五金交电（不含电动自行车）、建筑材料。（企业依法自主选择经营项目，开展经营活动；依法须经批准的项目，经相关部门批准后依批准的内容开展经营活动；不得从事本市产业政策禁止和限制类项目的经营活动。）公司的主要客户群为全国各地的企业、机关、学校；公司采用总经理负责制，层层把关，让用户真正放心</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认证范围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变更</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numPr>
                <w:ilvl w:val="0"/>
                <w:numId w:val="0"/>
              </w:num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原范围：</w:t>
            </w:r>
          </w:p>
          <w:p>
            <w:pPr>
              <w:rPr>
                <w:rFonts w:hint="eastAsia"/>
                <w:color w:val="000000" w:themeColor="text1"/>
                <w:szCs w:val="21"/>
                <w14:textFill>
                  <w14:solidFill>
                    <w14:schemeClr w14:val="tx1"/>
                  </w14:solidFill>
                </w14:textFill>
              </w:rPr>
            </w:pPr>
            <w:bookmarkStart w:id="3" w:name="审核范围"/>
            <w:r>
              <w:rPr>
                <w:rFonts w:hint="eastAsia" w:ascii="宋体" w:hAnsi="宋体"/>
                <w:color w:val="000000" w:themeColor="text1"/>
                <w:szCs w:val="21"/>
                <w14:textFill>
                  <w14:solidFill>
                    <w14:schemeClr w14:val="tx1"/>
                  </w14:solidFill>
                </w14:textFill>
              </w:rPr>
              <w:t>Q：楼宇内外清洁服务；园林绿化服务</w:t>
            </w: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E：楼宇内外清洁服务；园林绿化服务所涉及场所的相关环境管理活动</w:t>
            </w:r>
          </w:p>
          <w:p>
            <w:pPr>
              <w:numPr>
                <w:ilvl w:val="0"/>
                <w:numId w:val="0"/>
              </w:num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O：楼宇内外清洁服务；园林绿化服务所涉及场所的相关职业健康安全管理活动</w:t>
            </w:r>
            <w:bookmarkEnd w:id="3"/>
          </w:p>
          <w:p>
            <w:pPr>
              <w:numPr>
                <w:ilvl w:val="0"/>
                <w:numId w:val="0"/>
              </w:numPr>
              <w:rPr>
                <w:rFonts w:hint="eastAsia" w:ascii="宋体" w:hAnsi="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现范围：</w:t>
            </w:r>
          </w:p>
          <w:p>
            <w:pPr>
              <w:rPr>
                <w:rFonts w:hint="eastAsia"/>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Q：</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p>
          <w:p>
            <w:pP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E：</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；园林绿化服务所涉及场所的相关环境管理活动</w:t>
            </w:r>
          </w:p>
          <w:p>
            <w:pPr>
              <w:numPr>
                <w:ilvl w:val="0"/>
                <w:numId w:val="0"/>
              </w:num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O：</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；园林绿化服务所涉及场所的相关职业健康安全管理活动</w:t>
            </w:r>
          </w:p>
          <w:p>
            <w:pPr>
              <w:rPr>
                <w:rFonts w:hint="default" w:eastAsia="宋体"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认证范围在经营范围内。</w:t>
            </w:r>
            <w:r>
              <w:rPr>
                <w:rFonts w:hint="eastAsia" w:ascii="宋体" w:hAnsi="宋体"/>
                <w:b/>
                <w:bCs/>
                <w:color w:val="000000" w:themeColor="text1"/>
                <w14:textFill>
                  <w14:solidFill>
                    <w14:schemeClr w14:val="tx1"/>
                  </w14:solidFill>
                </w14:textFill>
              </w:rPr>
              <w:t>不适用条款:Q8.</w:t>
            </w:r>
            <w:r>
              <w:rPr>
                <w:rFonts w:hint="eastAsia" w:ascii="宋体" w:hAnsi="宋体"/>
                <w:b/>
                <w:bCs/>
                <w:color w:val="000000" w:themeColor="text1"/>
                <w14:textFill>
                  <w14:solidFill>
                    <w14:schemeClr w14:val="tx1"/>
                  </w14:solidFill>
                </w14:textFill>
              </w:rPr>
              <w:t>3</w:t>
            </w:r>
            <w:r>
              <w:rPr>
                <w:rFonts w:hint="eastAsia" w:ascii="宋体" w:hAnsi="宋体"/>
                <w:b/>
                <w:bCs/>
                <w:color w:val="000000" w:themeColor="text1"/>
                <w:lang w:eastAsia="zh-CN"/>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因</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ascii="宋体" w:hAnsi="宋体"/>
                <w:color w:val="000000" w:themeColor="text1"/>
                <w:szCs w:val="21"/>
                <w:lang w:val="en-US" w:eastAsia="zh-CN"/>
                <w14:textFill>
                  <w14:solidFill>
                    <w14:schemeClr w14:val="tx1"/>
                  </w14:solidFill>
                </w14:textFill>
              </w:rPr>
              <w:t>根据顾客的要求，所以</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ascii="宋体" w:hAnsi="宋体"/>
                <w:color w:val="000000" w:themeColor="text1"/>
                <w:szCs w:val="21"/>
                <w:lang w:val="en-US" w:eastAsia="zh-CN"/>
                <w14:textFill>
                  <w14:solidFill>
                    <w14:schemeClr w14:val="tx1"/>
                  </w14:solidFill>
                </w14:textFill>
              </w:rPr>
              <w:t>不涉及设计开发，8.3条款的不适用，不影响组织确保其产品和服务合格的能力和责任，也不会对增强顾客满意产生影响</w:t>
            </w:r>
          </w:p>
          <w:p>
            <w:pPr>
              <w:rPr>
                <w:rFonts w:hint="eastAsia" w:eastAsia="宋体" w:asciiTheme="minorEastAsia" w:hAnsiTheme="minorEastAsia" w:cstheme="minorEastAsia"/>
                <w:color w:val="000000" w:themeColor="text1"/>
                <w:szCs w:val="21"/>
                <w:lang w:eastAsia="zh-CN"/>
                <w14:textFill>
                  <w14:solidFill>
                    <w14:schemeClr w14:val="tx1"/>
                  </w14:solidFill>
                </w14:textFill>
              </w:rPr>
            </w:pPr>
          </w:p>
          <w:p>
            <w:pPr>
              <w:rPr>
                <w:rFonts w:ascii="宋体"/>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查国家企业信用信息公示系统，企业无异常经营记录、无违法失信记录。</w:t>
            </w: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r>
              <w:rPr>
                <w:rFonts w:hint="eastAsia" w:asciiTheme="minorEastAsia" w:hAnsiTheme="minorEastAsia" w:eastAsiaTheme="minorEastAsia" w:cstheme="minorEastAsia"/>
                <w:bCs w:val="0"/>
                <w:color w:val="000000" w:themeColor="text1"/>
                <w:szCs w:val="21"/>
                <w14:textFill>
                  <w14:solidFill>
                    <w14:schemeClr w14:val="tx1"/>
                  </w14:solidFill>
                </w14:textFill>
              </w:rPr>
              <w:t>对于企业的外包过程也进行了充分识别，公司无外包</w:t>
            </w:r>
          </w:p>
          <w:p>
            <w:pPr>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一阶段问题：</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无</w:t>
            </w:r>
          </w:p>
          <w:p>
            <w:pPr>
              <w:ind w:firstLine="42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投诉或事故:无      政府主管部门监督抽查情况:无</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查企业基本信息与初审没变化，审核范围无变化</w:t>
            </w:r>
          </w:p>
          <w:p>
            <w:pPr>
              <w:pStyle w:val="2"/>
              <w:rPr>
                <w:color w:val="000000" w:themeColor="text1"/>
                <w14:textFill>
                  <w14:solidFill>
                    <w14:schemeClr w14:val="tx1"/>
                  </w14:solidFill>
                </w14:textFill>
              </w:rPr>
            </w:pP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理解组织及其环境</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总要求</w:t>
            </w:r>
          </w:p>
        </w:tc>
        <w:tc>
          <w:tcPr>
            <w:tcW w:w="960" w:type="dxa"/>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ES</w:t>
            </w:r>
          </w:p>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现场询问总经理</w:t>
            </w:r>
            <w:r>
              <w:rPr>
                <w:rFonts w:hint="eastAsia"/>
                <w:color w:val="000000" w:themeColor="text1"/>
                <w:kern w:val="0"/>
                <w:sz w:val="22"/>
                <w14:textFill>
                  <w14:solidFill>
                    <w14:schemeClr w14:val="tx1"/>
                  </w14:solidFill>
                </w14:textFill>
              </w:rPr>
              <w:t>张清兰</w:t>
            </w:r>
            <w:r>
              <w:rPr>
                <w:rFonts w:hint="eastAsia" w:asciiTheme="minorEastAsia" w:hAnsiTheme="minorEastAsia" w:eastAsiaTheme="minorEastAsia" w:cstheme="minorEastAsia"/>
                <w:color w:val="000000" w:themeColor="text1"/>
                <w:szCs w:val="21"/>
                <w14:textFill>
                  <w14:solidFill>
                    <w14:schemeClr w14:val="tx1"/>
                  </w14:solidFill>
                </w14:textFill>
              </w:rPr>
              <w:t>，公</w:t>
            </w:r>
            <w:r>
              <w:rPr>
                <w:rFonts w:hint="eastAsia" w:asciiTheme="minorEastAsia" w:hAnsiTheme="minorEastAsia" w:eastAsiaTheme="minorEastAsia" w:cstheme="minorEastAsia"/>
                <w:color w:val="000000" w:themeColor="text1"/>
                <w:szCs w:val="21"/>
                <w14:textFill>
                  <w14:solidFill>
                    <w14:schemeClr w14:val="tx1"/>
                  </w14:solidFill>
                </w14:textFill>
              </w:rPr>
              <w:t>司确定了与本公司质量、环境、职业健康安全目标和战略方向相关并影响实现质量、环境、职业健康安全管理体系预期结果的各种因素，包括：</w:t>
            </w:r>
          </w:p>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--外部的文化、社会、政治、法律、</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环境的</w:t>
            </w:r>
            <w:r>
              <w:rPr>
                <w:rFonts w:hint="eastAsia" w:asciiTheme="minorEastAsia" w:hAnsiTheme="minorEastAsia" w:eastAsiaTheme="minorEastAsia" w:cstheme="minorEastAsia"/>
                <w:color w:val="000000" w:themeColor="text1"/>
                <w:szCs w:val="21"/>
                <w14:textFill>
                  <w14:solidFill>
                    <w14:schemeClr w14:val="tx1"/>
                  </w14:solidFill>
                </w14:textFill>
              </w:rPr>
              <w:t>监管、</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安全的监管、</w:t>
            </w:r>
            <w:r>
              <w:rPr>
                <w:rFonts w:hint="eastAsia" w:asciiTheme="minorEastAsia" w:hAnsiTheme="minorEastAsia" w:eastAsiaTheme="minorEastAsia" w:cstheme="minorEastAsia"/>
                <w:color w:val="000000" w:themeColor="text1"/>
                <w:szCs w:val="21"/>
                <w14:textFill>
                  <w14:solidFill>
                    <w14:schemeClr w14:val="tx1"/>
                  </w14:solidFill>
                </w14:textFill>
              </w:rPr>
              <w:t>财务、技术、经济、自然以及竞争环境，包括国际的、国内的、区域的和地方的；</w:t>
            </w:r>
          </w:p>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--组织内部特征或条件，例如：其活动、产品和服务、战略方向、文化与能力</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环境污染、意外伤害等</w:t>
            </w:r>
            <w:r>
              <w:rPr>
                <w:rFonts w:hint="eastAsia" w:asciiTheme="minorEastAsia" w:hAnsiTheme="minorEastAsia" w:eastAsiaTheme="minorEastAsia" w:cstheme="minorEastAsia"/>
                <w:color w:val="000000" w:themeColor="text1"/>
                <w:szCs w:val="21"/>
                <w14:textFill>
                  <w14:solidFill>
                    <w14:schemeClr w14:val="tx1"/>
                  </w14:solidFill>
                </w14:textFill>
              </w:rPr>
              <w:t>.</w:t>
            </w:r>
          </w:p>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--国际、国内、区域和当地的各种法律法规、竞争、市场和经济方面因素；</w:t>
            </w:r>
          </w:p>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--公司和员工的文化、价值观、知识、绩效等因素；</w:t>
            </w:r>
          </w:p>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--确定受组织影响的或能够影响组织的环境状况。考虑可能从组织内延伸到当地、区域或全球系统：</w:t>
            </w:r>
          </w:p>
          <w:p>
            <w:pPr>
              <w:ind w:firstLine="420" w:firstLineChars="200"/>
              <w:rPr>
                <w:rFonts w:hint="default"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--包括与气候、空气质量、水质量、土地使用、现存污染、自然资源的可获得性、生物多样性等相关的环境状况；</w:t>
            </w:r>
          </w:p>
          <w:p>
            <w:pPr>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公司主要业务为园林绿化服务，客户覆盖全国学校、机关、企事业单位以及个人家庭；公司采用经理负责制，层层把关，让用户真正放心。</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提供了《组织内外部环境因素识别表》：</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内部环境：资源因素－公司提供符合上述产品生</w:t>
            </w:r>
            <w:r>
              <w:rPr>
                <w:rFonts w:hint="eastAsia" w:asciiTheme="minorEastAsia" w:hAnsiTheme="minorEastAsia" w:eastAsiaTheme="minorEastAsia" w:cstheme="minorEastAsia"/>
                <w:color w:val="000000" w:themeColor="text1"/>
                <w:kern w:val="0"/>
                <w:szCs w:val="21"/>
                <w14:textFill>
                  <w14:solidFill>
                    <w14:schemeClr w14:val="tx1"/>
                  </w14:solidFill>
                </w14:textFill>
              </w:rPr>
              <w:t>产</w:t>
            </w:r>
            <w:r>
              <w:rPr>
                <w:rFonts w:hint="eastAsia" w:asciiTheme="minorEastAsia" w:hAnsiTheme="minorEastAsia" w:eastAsiaTheme="minorEastAsia" w:cstheme="minorEastAsia"/>
                <w:color w:val="000000" w:themeColor="text1"/>
                <w:szCs w:val="21"/>
                <w14:textFill>
                  <w14:solidFill>
                    <w14:schemeClr w14:val="tx1"/>
                  </w14:solidFill>
                </w14:textFill>
              </w:rPr>
              <w:t>服务的场所，配备适宜的硬件和软件设施设备。</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信息来源：设施设备台账</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园林绿化</w:t>
            </w:r>
            <w:r>
              <w:rPr>
                <w:rFonts w:hint="eastAsia"/>
                <w:color w:val="000000" w:themeColor="text1"/>
                <w14:textFill>
                  <w14:solidFill>
                    <w14:schemeClr w14:val="tx1"/>
                  </w14:solidFill>
                </w14:textFill>
              </w:rPr>
              <w:t>：铁锹、铁镐、手据、园艺剪、割草机、粗枝剪、打草机等</w:t>
            </w:r>
          </w:p>
          <w:p>
            <w:pPr>
              <w:pStyle w:val="2"/>
              <w:rPr>
                <w:rFonts w:hint="eastAsia" w:ascii="Times New Roman" w:hAnsi="Times New Roman" w:eastAsia="宋体" w:cs="Times New Roman"/>
                <w:bCs/>
                <w:color w:val="000000" w:themeColor="text1"/>
                <w:spacing w:val="10"/>
                <w:kern w:val="2"/>
                <w:sz w:val="21"/>
                <w:szCs w:val="22"/>
                <w:lang w:val="en-US" w:eastAsia="zh-CN" w:bidi="ar-SA"/>
                <w14:textFill>
                  <w14:solidFill>
                    <w14:schemeClr w14:val="tx1"/>
                  </w14:solidFill>
                </w14:textFill>
              </w:rPr>
            </w:pPr>
            <w:r>
              <w:rPr>
                <w:rFonts w:hint="eastAsia" w:ascii="宋体" w:hAnsi="宋体"/>
                <w:color w:val="000000" w:themeColor="text1"/>
                <w:spacing w:val="-10"/>
                <w:sz w:val="20"/>
                <w:szCs w:val="20"/>
                <w:lang w:val="en-US" w:eastAsia="zh-CN"/>
                <w14:textFill>
                  <w14:solidFill>
                    <w14:schemeClr w14:val="tx1"/>
                  </w14:solidFill>
                </w14:textFill>
              </w:rPr>
              <w:t>清洁服务：扫帚、拖把、抹布、洗地机、扫地机等</w:t>
            </w:r>
          </w:p>
          <w:p>
            <w:pPr>
              <w:rPr>
                <w:rFonts w:cs="Lucida Sans"/>
                <w:b/>
                <w:color w:val="000000" w:themeColor="text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办公设备:电脑/打印机/传真机/电话等</w:t>
            </w:r>
            <w:r>
              <w:rPr>
                <w:rFonts w:hint="eastAsia" w:cs="Lucida Sans"/>
                <w:b/>
                <w:color w:val="000000" w:themeColor="text1"/>
                <w14:textFill>
                  <w14:solidFill>
                    <w14:schemeClr w14:val="tx1"/>
                  </w14:solidFill>
                </w14:textFill>
              </w:rPr>
              <w:t>。提供维修保养计划及记录，满足要求。</w:t>
            </w:r>
          </w:p>
          <w:p>
            <w:pPr>
              <w:rPr>
                <w:color w:val="000000" w:themeColor="text1"/>
                <w:szCs w:val="24"/>
                <w14:textFill>
                  <w14:solidFill>
                    <w14:schemeClr w14:val="tx1"/>
                  </w14:solidFill>
                </w14:textFill>
              </w:rPr>
            </w:pPr>
            <w:r>
              <w:rPr>
                <w:rFonts w:hint="eastAsia" w:cs="Lucida Sans"/>
                <w:b/>
                <w:color w:val="000000" w:themeColor="text1"/>
                <w14:textFill>
                  <w14:solidFill>
                    <w14:schemeClr w14:val="tx1"/>
                  </w14:solidFill>
                </w14:textFill>
              </w:rPr>
              <w:t>环保设施包括：灭火器</w:t>
            </w:r>
            <w:r>
              <w:rPr>
                <w:rFonts w:hint="eastAsia"/>
                <w:color w:val="000000" w:themeColor="text1"/>
                <w:szCs w:val="21"/>
                <w14:textFill>
                  <w14:solidFill>
                    <w14:schemeClr w14:val="tx1"/>
                  </w14:solidFill>
                </w14:textFill>
              </w:rPr>
              <w:t>、</w:t>
            </w:r>
            <w:r>
              <w:rPr>
                <w:rFonts w:hint="eastAsia" w:cs="Lucida Sans"/>
                <w:b/>
                <w:color w:val="000000" w:themeColor="text1"/>
                <w14:textFill>
                  <w14:solidFill>
                    <w14:schemeClr w14:val="tx1"/>
                  </w14:solidFill>
                </w14:textFill>
              </w:rPr>
              <w:t>垃圾桶；</w:t>
            </w:r>
          </w:p>
          <w:p>
            <w:pPr>
              <w:widowControl/>
              <w:spacing w:line="460" w:lineRule="exact"/>
              <w:jc w:val="left"/>
              <w:rPr>
                <w:color w:val="000000" w:themeColor="text1"/>
                <w:szCs w:val="21"/>
                <w14:textFill>
                  <w14:solidFill>
                    <w14:schemeClr w14:val="tx1"/>
                  </w14:solidFill>
                </w14:textFill>
              </w:rPr>
            </w:pPr>
            <w:r>
              <w:rPr>
                <w:rFonts w:hint="eastAsia" w:cs="Lucida Sans"/>
                <w:b/>
                <w:color w:val="000000" w:themeColor="text1"/>
                <w14:textFill>
                  <w14:solidFill>
                    <w14:schemeClr w14:val="tx1"/>
                  </w14:solidFill>
                </w14:textFill>
              </w:rPr>
              <w:t>安全设施配置主要有：标识牌、灭火器、消防器材等，</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办公设备：电脑、打印机、传真机、电话等</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基本的质量控制要求－SWOT分析：WT……</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外部环境：竞争力－：同类产品制作厂家比较多，竞争力强，市场调查和分析－具体现状描述：本公司产品质量稳定，－SWOT分析：ST……</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公司管理层已确定了外部和内部因素，已经对经营环境、内外部环境进行分析并提出对策，并进行了监视和评审。</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理解相关方的需求和期望</w:t>
            </w:r>
          </w:p>
        </w:tc>
        <w:tc>
          <w:tcPr>
            <w:tcW w:w="960" w:type="dxa"/>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ES4.2</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与公司领导交流，</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各</w:t>
            </w:r>
            <w:r>
              <w:rPr>
                <w:rFonts w:hint="eastAsia"/>
                <w:color w:val="000000" w:themeColor="text1"/>
                <w14:textFill>
                  <w14:solidFill>
                    <w14:schemeClr w14:val="tx1"/>
                  </w14:solidFill>
                </w14:textFill>
              </w:rPr>
              <w:t>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Pr>
                <w:rFonts w:hint="eastAsia" w:asciiTheme="minorEastAsia" w:hAnsiTheme="minorEastAsia" w:eastAsiaTheme="minorEastAsia" w:cstheme="minorEastAsia"/>
                <w:color w:val="000000" w:themeColor="text1"/>
                <w:szCs w:val="21"/>
                <w14:textFill>
                  <w14:solidFill>
                    <w14:schemeClr w14:val="tx1"/>
                  </w14:solidFill>
                </w14:textFill>
              </w:rPr>
              <w:t>做为公司经营风险分析和发展机遇的可利用资源。内外部相关方需求分析高管层分析很到位，政策执行也好，未形成很好的书面材料。</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公司运营过程中充分考虑相关方方面的期望或要求，识别的相关方有：顾客、最终用户或受益人、业主，股东、员工等。</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vAlign w:val="top"/>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确定管理体系的范围</w:t>
            </w:r>
          </w:p>
          <w:p>
            <w:pPr>
              <w:spacing w:line="280" w:lineRule="exact"/>
              <w:rPr>
                <w:rFonts w:ascii="Times New Roman" w:hAnsi="Times New Roman" w:eastAsia="宋体" w:cs="Times New Roman"/>
                <w:color w:val="000000" w:themeColor="text1"/>
                <w:kern w:val="2"/>
                <w:sz w:val="21"/>
                <w:lang w:val="en-US" w:eastAsia="zh-CN" w:bidi="ar-SA"/>
                <w14:textFill>
                  <w14:solidFill>
                    <w14:schemeClr w14:val="tx1"/>
                  </w14:solidFill>
                </w14:textFill>
              </w:rPr>
            </w:pPr>
          </w:p>
        </w:tc>
        <w:tc>
          <w:tcPr>
            <w:tcW w:w="960" w:type="dxa"/>
            <w:vAlign w:val="top"/>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ES4.3</w:t>
            </w:r>
          </w:p>
          <w:p>
            <w:pPr>
              <w:spacing w:line="280" w:lineRule="exact"/>
              <w:rPr>
                <w:rFonts w:ascii="Times New Roman" w:hAnsi="Times New Roman" w:eastAsia="宋体" w:cs="Times New Roman"/>
                <w:color w:val="000000" w:themeColor="text1"/>
                <w:kern w:val="2"/>
                <w:sz w:val="21"/>
                <w:lang w:val="en-US" w:eastAsia="zh-CN" w:bidi="ar-SA"/>
                <w14:textFill>
                  <w14:solidFill>
                    <w14:schemeClr w14:val="tx1"/>
                  </w14:solidFill>
                </w14:textFill>
              </w:rPr>
            </w:pPr>
          </w:p>
        </w:tc>
        <w:tc>
          <w:tcPr>
            <w:tcW w:w="10268" w:type="dxa"/>
          </w:tcPr>
          <w:p>
            <w:pPr>
              <w:spacing w:line="2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公司管理体系范围为：</w:t>
            </w:r>
          </w:p>
          <w:p>
            <w:pPr>
              <w:rPr>
                <w:rFonts w:hint="eastAsia"/>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Q：</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p>
          <w:p>
            <w:pP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E：</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；园林绿化服务所涉及场所的相关环境管理活动</w:t>
            </w:r>
          </w:p>
          <w:p>
            <w:pPr>
              <w:numPr>
                <w:ilvl w:val="0"/>
                <w:numId w:val="0"/>
              </w:num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Cs w:val="21"/>
                <w14:textFill>
                  <w14:solidFill>
                    <w14:schemeClr w14:val="tx1"/>
                  </w14:solidFill>
                </w14:textFill>
              </w:rPr>
              <w:t>O：</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；园林绿化服务所涉及场所的相关职业健康安全管理活动</w:t>
            </w:r>
          </w:p>
          <w:p>
            <w:pPr>
              <w:rPr>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认证范围在经营范围内。</w:t>
            </w:r>
            <w:r>
              <w:rPr>
                <w:rFonts w:hint="eastAsia" w:ascii="宋体" w:hAnsi="宋体"/>
                <w:b/>
                <w:bCs/>
                <w:color w:val="000000" w:themeColor="text1"/>
                <w14:textFill>
                  <w14:solidFill>
                    <w14:schemeClr w14:val="tx1"/>
                  </w14:solidFill>
                </w14:textFill>
              </w:rPr>
              <w:t>不适用条款:Q8.3</w:t>
            </w:r>
            <w:r>
              <w:rPr>
                <w:rFonts w:hint="eastAsia" w:ascii="宋体" w:hAnsi="宋体"/>
                <w:b/>
                <w:bCs/>
                <w:color w:val="000000" w:themeColor="text1"/>
                <w:lang w:eastAsia="zh-CN"/>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不适用理由：因</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ascii="宋体" w:hAnsi="宋体"/>
                <w:color w:val="000000" w:themeColor="text1"/>
                <w:szCs w:val="21"/>
                <w:lang w:val="en-US" w:eastAsia="zh-CN"/>
                <w14:textFill>
                  <w14:solidFill>
                    <w14:schemeClr w14:val="tx1"/>
                  </w14:solidFill>
                </w14:textFill>
              </w:rPr>
              <w:t>根据顾客的要求，所以</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ascii="宋体" w:hAnsi="宋体"/>
                <w:color w:val="000000" w:themeColor="text1"/>
                <w:szCs w:val="21"/>
                <w:lang w:val="en-US" w:eastAsia="zh-CN"/>
                <w14:textFill>
                  <w14:solidFill>
                    <w14:schemeClr w14:val="tx1"/>
                  </w14:solidFill>
                </w14:textFill>
              </w:rPr>
              <w:t>不涉及设计开发.</w:t>
            </w:r>
            <w:r>
              <w:rPr>
                <w:rFonts w:hint="eastAsia" w:ascii="宋体" w:hAnsi="宋体"/>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此条款的不适用，</w:t>
            </w:r>
            <w:r>
              <w:rPr>
                <w:rStyle w:val="13"/>
                <w:rFonts w:hint="eastAsia" w:ascii="Arial" w:hAnsi="Arial" w:cs="Arial"/>
                <w:color w:val="000000" w:themeColor="text1"/>
                <w:shd w:val="clear" w:color="auto" w:fill="FFFFFF"/>
                <w14:textFill>
                  <w14:solidFill>
                    <w14:schemeClr w14:val="tx1"/>
                  </w14:solidFill>
                </w14:textFill>
              </w:rPr>
              <w:t>不影响</w:t>
            </w:r>
            <w:r>
              <w:rPr>
                <w:rStyle w:val="13"/>
                <w:rFonts w:hint="eastAsia" w:ascii="Arial" w:hAnsi="Arial" w:cs="Arial"/>
                <w:color w:val="000000" w:themeColor="text1"/>
                <w:sz w:val="20"/>
                <w:szCs w:val="21"/>
                <w:shd w:val="clear" w:color="auto" w:fill="FFFFFF"/>
                <w:lang w:val="en-US" w:eastAsia="zh-CN"/>
                <w14:textFill>
                  <w14:solidFill>
                    <w14:schemeClr w14:val="tx1"/>
                  </w14:solidFill>
                </w14:textFill>
              </w:rPr>
              <w:t>承担法规及顾客满意的责任</w:t>
            </w:r>
            <w:r>
              <w:rPr>
                <w:rFonts w:hint="eastAsia"/>
                <w:b/>
                <w:bCs/>
                <w:color w:val="000000" w:themeColor="text1"/>
                <w:szCs w:val="21"/>
                <w14:textFill>
                  <w14:solidFill>
                    <w14:schemeClr w14:val="tx1"/>
                  </w14:solidFill>
                </w14:textFill>
              </w:rPr>
              <w:t>。</w:t>
            </w:r>
          </w:p>
          <w:p>
            <w:pPr>
              <w:ind w:firstLine="420" w:firstLineChars="200"/>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管理体系及其过程</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960" w:type="dxa"/>
          </w:tcPr>
          <w:p>
            <w:pPr>
              <w:spacing w:line="280" w:lineRule="exac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ES4.</w:t>
            </w:r>
            <w:r>
              <w:rPr>
                <w:rFonts w:hint="eastAsia" w:ascii="宋体" w:hAnsi="宋体" w:cs="宋体"/>
                <w:color w:val="000000" w:themeColor="text1"/>
                <w:szCs w:val="21"/>
                <w:lang w:val="en-US" w:eastAsia="zh-CN"/>
                <w14:textFill>
                  <w14:solidFill>
                    <w14:schemeClr w14:val="tx1"/>
                  </w14:solidFill>
                </w14:textFill>
              </w:rPr>
              <w:t>4</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组织于2019.</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1"/>
                <w14:textFill>
                  <w14:solidFill>
                    <w14:schemeClr w14:val="tx1"/>
                  </w14:solidFill>
                </w14:textFill>
              </w:rPr>
              <w:t>.10发布并实施管理体系。同时根据自身的实际情况和标准的要求组织工作人员编制了管理手册、作业文件和记录表格，制定了管理方针和管理目标。通过对过程监测结果进行分析，公司管理体系不断改进。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体系从建立至今运行良好，没有变化。</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领导作用与承诺</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--总则</w:t>
            </w:r>
          </w:p>
        </w:tc>
        <w:tc>
          <w:tcPr>
            <w:tcW w:w="960" w:type="dxa"/>
            <w:vAlign w:val="top"/>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ES</w:t>
            </w:r>
          </w:p>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5.1.1</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最高管理者以顾客为关注焦点和承诺内部有通过以下方面证实：</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满足顾客产品要求和相关方环境要求的重要性意识和理念，确定和理解并持续地顾客要求以及适用的法律法规要求；</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确定和应对风险和机遇，这些风险和机遇可能影响产品和服务合格以及增强顾客满意的能力；始终致力于增强顾客和相关方满意。</w:t>
            </w:r>
          </w:p>
          <w:p>
            <w:pPr>
              <w:ind w:firstLine="42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企业最高管理者对管理体系的领导作用和承诺主要通过以下方面体现：</w:t>
            </w:r>
          </w:p>
          <w:p>
            <w:pPr>
              <w:numPr>
                <w:ilvl w:val="0"/>
                <w:numId w:val="1"/>
              </w:num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对管理体系运行的有效性负责；以顾客为关注焦点</w:t>
            </w:r>
          </w:p>
          <w:p>
            <w:pPr>
              <w:numPr>
                <w:ilvl w:val="0"/>
                <w:numId w:val="1"/>
              </w:num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促进使用过程方法和基于风险的思维确保管理体系要求融入企业的业务过程；</w:t>
            </w:r>
          </w:p>
          <w:p>
            <w:pPr>
              <w:numPr>
                <w:ilvl w:val="0"/>
                <w:numId w:val="1"/>
              </w:num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确保建立的管理体系与组织内外部环境、战略方向保持一致管理方针、管理目标的制定，应与组织环境相适应，与战略方向一致；</w:t>
            </w:r>
          </w:p>
          <w:p>
            <w:pPr>
              <w:numPr>
                <w:ilvl w:val="0"/>
                <w:numId w:val="1"/>
              </w:num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为确保管理体系所需的资源（包括人力、设备、技术和信息等）确保管理体系实现期望的结果；督促人员积极参与、指导和支持员工为管理体系的有效性做出贡献；</w:t>
            </w:r>
          </w:p>
          <w:p>
            <w:pPr>
              <w:numPr>
                <w:ilvl w:val="0"/>
                <w:numId w:val="1"/>
              </w:num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支持相关管理者在其职责范围内发挥领导作用，推动改进等。领导作用和承诺充分明确，基本符合标准要求。</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制定管理方针</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沟通质量方针</w:t>
            </w:r>
          </w:p>
        </w:tc>
        <w:tc>
          <w:tcPr>
            <w:tcW w:w="960" w:type="dxa"/>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ES5.2</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该企业的管理方针是</w:t>
            </w:r>
            <w:r>
              <w:rPr>
                <w:rFonts w:hint="eastAsia" w:asciiTheme="minorEastAsia" w:hAnsiTheme="minorEastAsia" w:eastAsiaTheme="minorEastAsia" w:cstheme="minorEastAsia"/>
                <w:b/>
                <w:bCs/>
                <w:color w:val="000000" w:themeColor="text1"/>
                <w:szCs w:val="2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遵守法律法规，以人为本， 持续改进，确保体系有效；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以顾客为中心，保护环境， 预防事故，创建满意工程。</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环境、职业健康安全方针及其内涵。</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组织的岗位、职责和权限</w:t>
            </w: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r>
              <w:rPr>
                <w:rFonts w:hint="eastAsia" w:asciiTheme="minorEastAsia" w:hAnsiTheme="minorEastAsia" w:eastAsiaTheme="minorEastAsia" w:cstheme="minorEastAsia"/>
                <w:bCs w:val="0"/>
                <w:color w:val="000000" w:themeColor="text1"/>
                <w:szCs w:val="21"/>
                <w14:textFill>
                  <w14:solidFill>
                    <w14:schemeClr w14:val="tx1"/>
                  </w14:solidFill>
                </w14:textFill>
              </w:rPr>
              <w:t>抽查员工代表职责权限</w:t>
            </w:r>
          </w:p>
        </w:tc>
        <w:tc>
          <w:tcPr>
            <w:tcW w:w="960" w:type="dxa"/>
          </w:tcPr>
          <w:p>
            <w:pPr>
              <w:spacing w:line="280" w:lineRule="exact"/>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E</w:t>
            </w:r>
            <w:r>
              <w:rPr>
                <w:rFonts w:hint="eastAsia" w:ascii="宋体" w:cs="宋体"/>
                <w:color w:val="000000" w:themeColor="text1"/>
                <w:szCs w:val="21"/>
                <w14:textFill>
                  <w14:solidFill>
                    <w14:schemeClr w14:val="tx1"/>
                  </w14:solidFill>
                </w14:textFill>
              </w:rPr>
              <w:t>S</w:t>
            </w:r>
            <w:r>
              <w:rPr>
                <w:rFonts w:ascii="宋体" w:cs="宋体"/>
                <w:color w:val="000000" w:themeColor="text1"/>
                <w:szCs w:val="21"/>
                <w14:textFill>
                  <w14:solidFill>
                    <w14:schemeClr w14:val="tx1"/>
                  </w14:solidFill>
                </w14:textFill>
              </w:rPr>
              <w:t>5.3</w:t>
            </w:r>
          </w:p>
          <w:p>
            <w:pPr>
              <w:pStyle w:val="2"/>
              <w:rPr>
                <w:rFonts w:ascii="宋体" w:cs="宋体"/>
                <w:color w:val="000000" w:themeColor="text1"/>
                <w:szCs w:val="21"/>
                <w14:textFill>
                  <w14:solidFill>
                    <w14:schemeClr w14:val="tx1"/>
                  </w14:solidFill>
                </w14:textFill>
              </w:rPr>
            </w:pPr>
          </w:p>
          <w:p>
            <w:pPr>
              <w:pStyle w:val="2"/>
              <w:rPr>
                <w:rFonts w:ascii="宋体" w:cs="宋体"/>
                <w:color w:val="000000" w:themeColor="text1"/>
                <w:szCs w:val="21"/>
                <w14:textFill>
                  <w14:solidFill>
                    <w14:schemeClr w14:val="tx1"/>
                  </w14:solidFill>
                </w14:textFill>
              </w:rPr>
            </w:pPr>
          </w:p>
          <w:p>
            <w:pPr>
              <w:pStyle w:val="2"/>
              <w:rPr>
                <w:rFonts w:ascii="宋体" w:cs="宋体"/>
                <w:color w:val="000000" w:themeColor="text1"/>
                <w:szCs w:val="21"/>
                <w14:textFill>
                  <w14:solidFill>
                    <w14:schemeClr w14:val="tx1"/>
                  </w14:solidFill>
                </w14:textFill>
              </w:rPr>
            </w:pPr>
          </w:p>
          <w:p>
            <w:pPr>
              <w:pStyle w:val="2"/>
              <w:rPr>
                <w:rFonts w:hint="default" w:ascii="宋体" w:eastAsia="宋体" w:cs="宋体"/>
                <w:color w:val="000000" w:themeColor="text1"/>
                <w:szCs w:val="21"/>
                <w:lang w:val="en-US"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S</w:t>
            </w:r>
            <w:bookmarkStart w:id="4" w:name="_GoBack"/>
            <w:r>
              <w:rPr>
                <w:rFonts w:hint="eastAsia" w:ascii="宋体" w:cs="宋体"/>
                <w:color w:val="000000" w:themeColor="text1"/>
                <w:szCs w:val="21"/>
                <w:lang w:val="en-US" w:eastAsia="zh-CN"/>
                <w14:textFill>
                  <w14:solidFill>
                    <w14:schemeClr w14:val="tx1"/>
                  </w14:solidFill>
                </w14:textFill>
              </w:rPr>
              <w:t>5.4</w:t>
            </w:r>
            <w:bookmarkEnd w:id="4"/>
          </w:p>
          <w:p>
            <w:pPr>
              <w:pStyle w:val="2"/>
              <w:rPr>
                <w:color w:val="000000" w:themeColor="text1"/>
                <w14:textFill>
                  <w14:solidFill>
                    <w14:schemeClr w14:val="tx1"/>
                  </w14:solidFill>
                </w14:textFill>
              </w:rPr>
            </w:pP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确定了部门、各岗位人员职责、权限和</w:t>
            </w:r>
            <w:r>
              <w:rPr>
                <w:rFonts w:hint="eastAsia"/>
                <w:color w:val="000000" w:themeColor="text1"/>
                <w:szCs w:val="22"/>
                <w14:textFill>
                  <w14:solidFill>
                    <w14:schemeClr w14:val="tx1"/>
                  </w14:solidFill>
                </w14:textFill>
              </w:rPr>
              <w:t>相互关系，并在公司内对各级员工进行了必要的传达。对从事与服务有关的管理、执行和验证人员规定其职责、权限及其相互关系，以实现公司管理方针和管理目标。建立、实施和保持公司管理体</w:t>
            </w:r>
            <w:r>
              <w:rPr>
                <w:rFonts w:hint="eastAsia"/>
                <w:color w:val="000000" w:themeColor="text1"/>
                <w:szCs w:val="22"/>
                <w14:textFill>
                  <w14:solidFill>
                    <w14:schemeClr w14:val="tx1"/>
                  </w14:solidFill>
                </w14:textFill>
              </w:rPr>
              <w:t>系所需的过程，公司决定任命</w:t>
            </w:r>
            <w:r>
              <w:rPr>
                <w:rFonts w:hint="default"/>
                <w:color w:val="000000" w:themeColor="text1"/>
                <w:lang w:val="en-US" w:eastAsia="zh-CN"/>
                <w14:textFill>
                  <w14:solidFill>
                    <w14:schemeClr w14:val="tx1"/>
                  </w14:solidFill>
                </w14:textFill>
              </w:rPr>
              <w:t>宋媛媛</w:t>
            </w:r>
            <w:r>
              <w:rPr>
                <w:rFonts w:hint="eastAsia"/>
                <w:color w:val="000000" w:themeColor="text1"/>
                <w:szCs w:val="22"/>
                <w14:textFill>
                  <w14:solidFill>
                    <w14:schemeClr w14:val="tx1"/>
                  </w14:solidFill>
                </w14:textFill>
              </w:rPr>
              <w:t>为管</w:t>
            </w:r>
            <w:r>
              <w:rPr>
                <w:rFonts w:hint="eastAsia"/>
                <w:color w:val="000000" w:themeColor="text1"/>
                <w14:textFill>
                  <w14:solidFill>
                    <w14:schemeClr w14:val="tx1"/>
                  </w14:solidFill>
                </w14:textFill>
              </w:rPr>
              <w:t>理体系的管理者代表。其职责和权限规定如下：</w:t>
            </w:r>
          </w:p>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确保本公司管理体系所需的过程得到建立、实施和保持，代表总经理行使职权；</w:t>
            </w:r>
          </w:p>
          <w:p>
            <w:pPr>
              <w:spacing w:line="280" w:lineRule="exact"/>
              <w:ind w:firstLine="420" w:firstLineChars="200"/>
              <w:rPr>
                <w:color w:val="000000" w:themeColor="text1"/>
                <w:szCs w:val="22"/>
                <w14:textFill>
                  <w14:solidFill>
                    <w14:schemeClr w14:val="tx1"/>
                  </w14:solidFill>
                </w14:textFill>
              </w:rPr>
            </w:pPr>
            <w:r>
              <w:rPr>
                <w:rFonts w:hint="eastAsia"/>
                <w:color w:val="000000" w:themeColor="text1"/>
                <w14:textFill>
                  <w14:solidFill>
                    <w14:schemeClr w14:val="tx1"/>
                  </w14:solidFill>
                </w14:textFill>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w:t>
            </w:r>
            <w:r>
              <w:rPr>
                <w:rFonts w:hint="eastAsia"/>
                <w:b/>
                <w:bCs/>
                <w:color w:val="000000" w:themeColor="text1"/>
                <w:szCs w:val="22"/>
                <w14:textFill>
                  <w14:solidFill>
                    <w14:schemeClr w14:val="tx1"/>
                  </w14:solidFill>
                </w14:textFill>
              </w:rPr>
              <w:t>理</w:t>
            </w:r>
            <w:r>
              <w:rPr>
                <w:rFonts w:hint="eastAsia"/>
                <w:color w:val="000000" w:themeColor="text1"/>
                <w:szCs w:val="22"/>
                <w14:textFill>
                  <w14:solidFill>
                    <w14:schemeClr w14:val="tx1"/>
                  </w14:solidFill>
                </w14:textFill>
              </w:rPr>
              <w:t>体系正常运行的有关问题；负责公司管理体系有关事宜的对外联络等。</w:t>
            </w:r>
          </w:p>
          <w:p>
            <w:pPr>
              <w:tabs>
                <w:tab w:val="left" w:pos="900"/>
              </w:tabs>
              <w:spacing w:line="336" w:lineRule="auto"/>
              <w:ind w:right="237" w:rightChars="113"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查到授权书：公司任命</w:t>
            </w:r>
            <w:r>
              <w:rPr>
                <w:rFonts w:hint="eastAsia"/>
                <w:color w:val="000000" w:themeColor="text1"/>
                <w:kern w:val="0"/>
                <w:sz w:val="22"/>
                <w14:textFill>
                  <w14:solidFill>
                    <w14:schemeClr w14:val="tx1"/>
                  </w14:solidFill>
                </w14:textFill>
              </w:rPr>
              <w:t>张春英</w:t>
            </w:r>
            <w:r>
              <w:rPr>
                <w:rFonts w:hint="eastAsia"/>
                <w:b/>
                <w:bCs/>
                <w:color w:val="000000" w:themeColor="text1"/>
                <w14:textFill>
                  <w14:solidFill>
                    <w14:schemeClr w14:val="tx1"/>
                  </w14:solidFill>
                </w14:textFill>
              </w:rPr>
              <w:t>为本公司的职业健康安全事务代表</w:t>
            </w:r>
            <w:r>
              <w:rPr>
                <w:rFonts w:hint="eastAsia"/>
                <w:color w:val="000000" w:themeColor="text1"/>
                <w14:textFill>
                  <w14:solidFill>
                    <w14:schemeClr w14:val="tx1"/>
                  </w14:solidFill>
                </w14:textFill>
              </w:rPr>
              <w:t>。相关人员均对本部门的管理职责了解，在其手册上面有书面的职责权限已</w:t>
            </w:r>
            <w:r>
              <w:rPr>
                <w:rFonts w:hint="eastAsia"/>
                <w:color w:val="000000" w:themeColor="text1"/>
                <w14:textFill>
                  <w14:solidFill>
                    <w14:schemeClr w14:val="tx1"/>
                  </w14:solidFill>
                </w14:textFill>
              </w:rPr>
              <w:t>公布。</w:t>
            </w:r>
          </w:p>
          <w:p>
            <w:pPr>
              <w:numPr>
                <w:ilvl w:val="0"/>
                <w:numId w:val="0"/>
              </w:numPr>
              <w:tabs>
                <w:tab w:val="left" w:pos="426"/>
              </w:tabs>
              <w:spacing w:line="440" w:lineRule="exact"/>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 xml:space="preserve">参与环境因素及危险源辨识、风险评价和风险控制； </w:t>
            </w:r>
          </w:p>
          <w:p>
            <w:pPr>
              <w:numPr>
                <w:ilvl w:val="0"/>
                <w:numId w:val="0"/>
              </w:numPr>
              <w:tabs>
                <w:tab w:val="left" w:pos="426"/>
              </w:tabs>
              <w:spacing w:line="440" w:lineRule="exact"/>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参与事故和事件的调查以及现场职业健康安全检查等职业健康安全事务；</w:t>
            </w:r>
          </w:p>
          <w:p>
            <w:pPr>
              <w:numPr>
                <w:ilvl w:val="0"/>
                <w:numId w:val="0"/>
              </w:numPr>
              <w:tabs>
                <w:tab w:val="left" w:pos="900"/>
              </w:tabs>
              <w:spacing w:line="336" w:lineRule="auto"/>
              <w:ind w:leftChars="0" w:right="237" w:rightChars="11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代表员工参与制定职业健康安全方针、目标、管理方案和运行控制程序；</w:t>
            </w:r>
          </w:p>
          <w:p>
            <w:pPr>
              <w:numPr>
                <w:ilvl w:val="0"/>
                <w:numId w:val="0"/>
              </w:numPr>
              <w:tabs>
                <w:tab w:val="left" w:pos="426"/>
              </w:tabs>
              <w:spacing w:line="440" w:lineRule="exact"/>
              <w:ind w:left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代表员工参与职业健康安全的管理评审；参与职业健康安全和环保协商、评审和改进活动，并向厂长反映职业健康安全和环保问题；</w:t>
            </w:r>
          </w:p>
          <w:p>
            <w:pPr>
              <w:numPr>
                <w:ilvl w:val="0"/>
                <w:numId w:val="0"/>
              </w:numPr>
              <w:tabs>
                <w:tab w:val="left" w:pos="900"/>
              </w:tabs>
              <w:spacing w:line="336" w:lineRule="auto"/>
              <w:ind w:leftChars="0" w:right="237" w:rightChars="113"/>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代表员工参与商讨影响工作场所职业健康安全的任何变化；代表员工参与职业健康安全事务。</w:t>
            </w:r>
          </w:p>
          <w:p>
            <w:pPr>
              <w:tabs>
                <w:tab w:val="left" w:pos="900"/>
              </w:tabs>
              <w:spacing w:line="336" w:lineRule="auto"/>
              <w:ind w:right="237" w:rightChars="113"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职业健康安全事务代表的沟通,主要是在安全方面和企业的内部沟通，以及同相关方的沟通,内部的沟通的内容有,传递会议精神,国家的相关的法律和其他要求,安全工作的检查等.和相关方的沟通,主要是地方的相关行政部门,如安监局等.沟通的方式有电话、传真、会议和文件等。</w:t>
            </w:r>
          </w:p>
          <w:p>
            <w:pPr>
              <w:pStyle w:val="2"/>
              <w:ind w:firstLine="46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与职业安全事务代表</w:t>
            </w:r>
            <w:r>
              <w:rPr>
                <w:rFonts w:hint="eastAsia"/>
                <w:color w:val="000000" w:themeColor="text1"/>
                <w:kern w:val="0"/>
                <w:sz w:val="22"/>
                <w14:textFill>
                  <w14:solidFill>
                    <w14:schemeClr w14:val="tx1"/>
                  </w14:solidFill>
                </w14:textFill>
              </w:rPr>
              <w:t>张春英</w:t>
            </w:r>
            <w:r>
              <w:rPr>
                <w:rFonts w:hint="eastAsia" w:asciiTheme="minorEastAsia" w:hAnsiTheme="minorEastAsia" w:eastAsiaTheme="minorEastAsia" w:cstheme="minorEastAsia"/>
                <w:color w:val="000000" w:themeColor="text1"/>
                <w:szCs w:val="21"/>
                <w14:textFill>
                  <w14:solidFill>
                    <w14:schemeClr w14:val="tx1"/>
                  </w14:solidFill>
                </w14:textFill>
              </w:rPr>
              <w:t>现</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场沟通，思路清晰、沟通顺畅，对自己岗位职责有清晰的理解。  </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风险和机遇应对措施及策划</w:t>
            </w:r>
          </w:p>
        </w:tc>
        <w:tc>
          <w:tcPr>
            <w:tcW w:w="960" w:type="dxa"/>
          </w:tcPr>
          <w:p>
            <w:pPr>
              <w:spacing w:line="280" w:lineRule="exact"/>
              <w:rPr>
                <w:rFonts w:ascii="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E</w:t>
            </w:r>
            <w:r>
              <w:rPr>
                <w:rFonts w:hint="eastAsia" w:ascii="宋体" w:cs="宋体"/>
                <w:color w:val="000000" w:themeColor="text1"/>
                <w:szCs w:val="21"/>
                <w14:textFill>
                  <w14:solidFill>
                    <w14:schemeClr w14:val="tx1"/>
                  </w14:solidFill>
                </w14:textFill>
              </w:rPr>
              <w:t>S</w:t>
            </w:r>
            <w:r>
              <w:rPr>
                <w:rFonts w:ascii="宋体" w:cs="宋体"/>
                <w:color w:val="000000" w:themeColor="text1"/>
                <w:szCs w:val="21"/>
                <w14:textFill>
                  <w14:solidFill>
                    <w14:schemeClr w14:val="tx1"/>
                  </w14:solidFill>
                </w14:textFill>
              </w:rPr>
              <w:t>6.1.1</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在进行体系策划时，公司领导层考虑该公司所处的内外环境和问题，以及相关方的要求，识别和确定该公司</w:t>
            </w:r>
            <w:r>
              <w:rPr>
                <w:rFonts w:hint="eastAsia"/>
                <w:color w:val="000000" w:themeColor="text1"/>
                <w14:textFill>
                  <w14:solidFill>
                    <w14:schemeClr w14:val="tx1"/>
                  </w14:solidFill>
                </w14:textFill>
              </w:rPr>
              <w:t>资质范围内工程设计；工程项目管理</w:t>
            </w:r>
            <w:r>
              <w:rPr>
                <w:color w:val="000000" w:themeColor="text1"/>
                <w14:textFill>
                  <w14:solidFill>
                    <w14:schemeClr w14:val="tx1"/>
                  </w14:solidFill>
                </w14:textFill>
              </w:rPr>
              <w:t>中存在的影响</w:t>
            </w:r>
            <w:r>
              <w:rPr>
                <w:rFonts w:hint="eastAsia"/>
                <w:color w:val="000000" w:themeColor="text1"/>
                <w:lang w:val="en-US" w:eastAsia="zh-CN"/>
                <w14:textFill>
                  <w14:solidFill>
                    <w14:schemeClr w14:val="tx1"/>
                  </w14:solidFill>
                </w14:textFill>
              </w:rPr>
              <w:t>设计</w:t>
            </w:r>
            <w:r>
              <w:rPr>
                <w:color w:val="000000" w:themeColor="text1"/>
                <w14:textFill>
                  <w14:solidFill>
                    <w14:schemeClr w14:val="tx1"/>
                  </w14:solidFill>
                </w14:textFill>
              </w:rP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000000" w:themeColor="text1"/>
                <w14:textFill>
                  <w14:solidFill>
                    <w14:schemeClr w14:val="tx1"/>
                  </w14:solidFill>
                </w14:textFill>
              </w:rPr>
            </w:pPr>
            <w:r>
              <w:rPr>
                <w:color w:val="000000" w:themeColor="text1"/>
                <w14:textFill>
                  <w14:solidFill>
                    <w14:schemeClr w14:val="tx1"/>
                  </w14:solidFill>
                </w14:textFill>
              </w:rPr>
              <w:t>公司存</w:t>
            </w:r>
            <w:r>
              <w:rPr>
                <w:color w:val="000000" w:themeColor="text1"/>
                <w14:textFill>
                  <w14:solidFill>
                    <w14:schemeClr w14:val="tx1"/>
                  </w14:solidFill>
                </w14:textFill>
              </w:rPr>
              <w:t>在的风险和机遇主要有：</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a）</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由于人员的专业知识不足，工程质量不合格。</w:t>
            </w:r>
            <w:r>
              <w:rPr>
                <w:rFonts w:hint="eastAsia"/>
                <w:color w:val="000000" w:themeColor="text1"/>
                <w:lang w:val="en-US" w:eastAsia="zh-CN"/>
                <w14:textFill>
                  <w14:solidFill>
                    <w14:schemeClr w14:val="tx1"/>
                  </w14:solidFill>
                </w14:textFill>
              </w:rPr>
              <w:t>控制措施：人员招聘、人员培训</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b）</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由于人员的环境保护、安全意识不够，造成意外环境污染和工伤事故。</w:t>
            </w:r>
            <w:r>
              <w:rPr>
                <w:rFonts w:hint="eastAsia"/>
                <w:color w:val="000000" w:themeColor="text1"/>
                <w:lang w:val="en-US" w:eastAsia="zh-CN"/>
                <w14:textFill>
                  <w14:solidFill>
                    <w14:schemeClr w14:val="tx1"/>
                  </w14:solidFill>
                </w14:textFill>
              </w:rPr>
              <w:t>控制措施：人员培训、三级安全教育、公司给人员上社保</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c）</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由于设备故障，造成人员</w:t>
            </w:r>
            <w:r>
              <w:rPr>
                <w:rFonts w:hint="eastAsia"/>
                <w:color w:val="000000" w:themeColor="text1"/>
                <w:lang w:val="en-US" w:eastAsia="zh-CN"/>
                <w14:textFill>
                  <w14:solidFill>
                    <w14:schemeClr w14:val="tx1"/>
                  </w14:solidFill>
                </w14:textFill>
              </w:rPr>
              <w:t>意外</w:t>
            </w:r>
            <w:r>
              <w:rPr>
                <w:color w:val="000000" w:themeColor="text1"/>
                <w14:textFill>
                  <w14:solidFill>
                    <w14:schemeClr w14:val="tx1"/>
                  </w14:solidFill>
                </w14:textFill>
              </w:rPr>
              <w:t>伤害、触电事故。</w:t>
            </w:r>
            <w:r>
              <w:rPr>
                <w:rFonts w:hint="eastAsia"/>
                <w:color w:val="000000" w:themeColor="text1"/>
                <w:lang w:val="en-US" w:eastAsia="zh-CN"/>
                <w14:textFill>
                  <w14:solidFill>
                    <w14:schemeClr w14:val="tx1"/>
                  </w14:solidFill>
                </w14:textFill>
              </w:rPr>
              <w:t>控制措施：培训、定期检查、应急预案及应急演练</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d</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color w:val="000000" w:themeColor="text1"/>
                <w14:textFill>
                  <w14:solidFill>
                    <w14:schemeClr w14:val="tx1"/>
                  </w14:solidFill>
                </w14:textFill>
              </w:rPr>
              <w:t>管理；</w:t>
            </w:r>
            <w:r>
              <w:rPr>
                <w:color w:val="000000" w:themeColor="text1"/>
                <w14:textFill>
                  <w14:solidFill>
                    <w14:schemeClr w14:val="tx1"/>
                  </w14:solidFill>
                </w14:textFill>
              </w:rPr>
              <w:t>由于作业指导书、安全作业规程不足，使得</w:t>
            </w:r>
            <w:r>
              <w:rPr>
                <w:rFonts w:hint="eastAsia"/>
                <w:color w:val="000000" w:themeColor="text1"/>
                <w:lang w:val="en-US" w:eastAsia="zh-CN"/>
                <w14:textFill>
                  <w14:solidFill>
                    <w14:schemeClr w14:val="tx1"/>
                  </w14:solidFill>
                </w14:textFill>
              </w:rPr>
              <w:t>服务</w:t>
            </w:r>
            <w:r>
              <w:rPr>
                <w:color w:val="000000" w:themeColor="text1"/>
                <w14:textFill>
                  <w14:solidFill>
                    <w14:schemeClr w14:val="tx1"/>
                  </w14:solidFill>
                </w14:textFill>
              </w:rPr>
              <w:t>质量不合格和人员安全事件的发生。</w:t>
            </w:r>
            <w:r>
              <w:rPr>
                <w:rFonts w:hint="eastAsia"/>
                <w:color w:val="000000" w:themeColor="text1"/>
                <w:lang w:val="en-US" w:eastAsia="zh-CN"/>
                <w14:textFill>
                  <w14:solidFill>
                    <w14:schemeClr w14:val="tx1"/>
                  </w14:solidFill>
                </w14:textFill>
              </w:rPr>
              <w:t>控制措施：培训操作规程及作业指导书、提供质量意识。</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f）采购的材料不合格，造成</w:t>
            </w:r>
            <w:r>
              <w:rPr>
                <w:rFonts w:hint="eastAsia"/>
                <w:color w:val="000000" w:themeColor="text1"/>
                <w:lang w:val="en-US" w:eastAsia="zh-CN"/>
                <w14:textFill>
                  <w14:solidFill>
                    <w14:schemeClr w14:val="tx1"/>
                  </w14:solidFill>
                </w14:textFill>
              </w:rPr>
              <w:t>服务</w:t>
            </w:r>
            <w:r>
              <w:rPr>
                <w:color w:val="000000" w:themeColor="text1"/>
                <w14:textFill>
                  <w14:solidFill>
                    <w14:schemeClr w14:val="tx1"/>
                  </w14:solidFill>
                </w14:textFill>
              </w:rPr>
              <w:t>的不合格。</w:t>
            </w:r>
            <w:r>
              <w:rPr>
                <w:rFonts w:hint="eastAsia"/>
                <w:color w:val="000000" w:themeColor="text1"/>
                <w:lang w:val="en-US" w:eastAsia="zh-CN"/>
                <w14:textFill>
                  <w14:solidFill>
                    <w14:schemeClr w14:val="tx1"/>
                  </w14:solidFill>
                </w14:textFill>
              </w:rPr>
              <w:t>控制措施：对供方进行评审、对供方采购的材料进行检验，同时对供方的运输过程及管理过程进行监督检查</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d）违反相关的法律法规，影响公司的社会形象，遵守法规提高公司的社会形象</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控制措施：对员工进行相关法规的培训、并定期检查，同时对法律法规及时进行更新</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h）公司潜在紧急情况，如火灾、触电、车辆伤害、物体打击等。</w:t>
            </w:r>
            <w:r>
              <w:rPr>
                <w:rFonts w:hint="eastAsia"/>
                <w:color w:val="000000" w:themeColor="text1"/>
                <w:lang w:val="en-US" w:eastAsia="zh-CN"/>
                <w14:textFill>
                  <w14:solidFill>
                    <w14:schemeClr w14:val="tx1"/>
                  </w14:solidFill>
                </w14:textFill>
              </w:rPr>
              <w:t>控制措施：制定相应的预案并进行演练，同时对人员进行培训，定期检查对隐患及时排查</w:t>
            </w:r>
          </w:p>
          <w:p>
            <w:pPr>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经营方面的风险如PPP、资金运行等</w:t>
            </w:r>
            <w:r>
              <w:rPr>
                <w:rFonts w:hint="eastAsia"/>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控制措施：每个月财务均将本月的资金情况上报，并预算未来半年的资金情况，保障资金的充足。</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应对这些风险编制了《管理手册》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《程序文件》及《管理制度》。</w:t>
            </w:r>
          </w:p>
          <w:p>
            <w:pPr>
              <w:spacing w:line="28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提供有《环境安全运行管理制度》，内容包括环境因素、危险源的识别、评价、汇总；重要环境因素和不可接受风险的控制。</w:t>
            </w:r>
          </w:p>
          <w:p>
            <w:pPr>
              <w:ind w:firstLine="420" w:firstLine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lang w:val="en-US" w:eastAsia="zh-CN"/>
                <w14:textFill>
                  <w14:solidFill>
                    <w14:schemeClr w14:val="tx1"/>
                  </w14:solidFill>
                </w14:textFill>
              </w:rPr>
              <w:t>公司对识别的重要环境因素及不可接受风险，对其进行监控</w:t>
            </w:r>
            <w:r>
              <w:rPr>
                <w:rFonts w:hint="eastAsia"/>
                <w:color w:val="000000" w:themeColor="text1"/>
                <w14:textFill>
                  <w14:solidFill>
                    <w14:schemeClr w14:val="tx1"/>
                  </w14:solidFill>
                </w14:textFill>
              </w:rPr>
              <w:t>并贯穿其整个生命周期</w:t>
            </w:r>
          </w:p>
          <w:p>
            <w:pPr>
              <w:ind w:firstLine="420" w:firstLineChars="200"/>
              <w:rPr>
                <w:rFonts w:hint="eastAsia" w:cs="宋体" w:asciiTheme="minorEastAsia" w:hAnsiTheme="minorEastAsia" w:eastAsiaTheme="minorEastAsia"/>
                <w:color w:val="000000" w:themeColor="text1"/>
                <w:szCs w:val="21"/>
                <w:lang w:val="en-US" w:eastAsia="zh-CN"/>
                <w14:textFill>
                  <w14:solidFill>
                    <w14:schemeClr w14:val="tx1"/>
                  </w14:solidFill>
                </w14:textFill>
              </w:rPr>
            </w:pP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措施的策划</w:t>
            </w:r>
          </w:p>
          <w:p>
            <w:pPr>
              <w:spacing w:line="28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960" w:type="dxa"/>
            <w:vAlign w:val="top"/>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ES6.1.4</w:t>
            </w:r>
          </w:p>
          <w:p>
            <w:pPr>
              <w:spacing w:line="280" w:lineRule="exact"/>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p>
        </w:tc>
        <w:tc>
          <w:tcPr>
            <w:tcW w:w="10268" w:type="dxa"/>
            <w:vAlign w:val="center"/>
          </w:tcPr>
          <w:p>
            <w:pPr>
              <w:spacing w:line="280" w:lineRule="exact"/>
              <w:ind w:firstLine="420" w:firstLineChars="200"/>
              <w:rPr>
                <w:color w:val="000000" w:themeColor="text1"/>
                <w14:textFill>
                  <w14:solidFill>
                    <w14:schemeClr w14:val="tx1"/>
                  </w14:solidFill>
                </w14:textFill>
              </w:rPr>
            </w:pPr>
          </w:p>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在策划应对风险和机遇的措施时，行政人事部综合考虑了企业所处的环境、重要环境因素、合规义务，以及面对的风险和机遇，制定了环境、职业健康安全目标及管理方案，总经理</w:t>
            </w:r>
            <w:r>
              <w:rPr>
                <w:rFonts w:hint="eastAsia"/>
                <w:color w:val="000000" w:themeColor="text1"/>
                <w:lang w:val="en-US" w:eastAsia="zh-CN"/>
                <w14:textFill>
                  <w14:solidFill>
                    <w14:schemeClr w14:val="tx1"/>
                  </w14:solidFill>
                </w14:textFill>
              </w:rPr>
              <w:t>翁方强</w:t>
            </w:r>
            <w:r>
              <w:rPr>
                <w:rFonts w:hint="eastAsia"/>
                <w:color w:val="000000" w:themeColor="text1"/>
                <w14:textFill>
                  <w14:solidFill>
                    <w14:schemeClr w14:val="tx1"/>
                  </w14:solidFill>
                </w14:textFill>
              </w:rPr>
              <w:t>负责</w:t>
            </w:r>
            <w:r>
              <w:rPr>
                <w:rFonts w:hint="eastAsia"/>
                <w:color w:val="000000" w:themeColor="text1"/>
                <w14:textFill>
                  <w14:solidFill>
                    <w14:schemeClr w14:val="tx1"/>
                  </w14:solidFill>
                </w14:textFill>
              </w:rPr>
              <w:t>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rPr>
                <w:rFonts w:hint="eastAsia" w:ascii="Times New Roman" w:hAnsi="Times New Roman" w:eastAsia="宋体" w:cs="Times New Roman"/>
                <w:bCs/>
                <w:color w:val="000000" w:themeColor="text1"/>
                <w:spacing w:val="10"/>
                <w:kern w:val="2"/>
                <w:sz w:val="21"/>
                <w:lang w:val="en-US" w:eastAsia="zh-CN" w:bidi="ar-SA"/>
                <w14:textFill>
                  <w14:solidFill>
                    <w14:schemeClr w14:val="tx1"/>
                  </w14:solidFill>
                </w14:textFill>
              </w:rPr>
            </w:pP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160" w:type="dxa"/>
            <w:vAlign w:val="top"/>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管理目标及其实现的策划</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960" w:type="dxa"/>
            <w:vAlign w:val="top"/>
          </w:tcPr>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ES6.2</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总经理负责组织制定公司的管理目标，并在公司各部门进行分解，制定时考虑了公司的质量过程及其风险和机遇。查公司的管理目标和实际达成情况：</w:t>
            </w:r>
          </w:p>
          <w:p>
            <w:pPr>
              <w:spacing w:line="400" w:lineRule="exact"/>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公司目标：                                     实际达成状态</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固废100%分类集中处理；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100%</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环境污染事故发生率为0；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0</w:t>
            </w:r>
          </w:p>
          <w:p>
            <w:pPr>
              <w:spacing w:line="400" w:lineRule="exact"/>
              <w:ind w:firstLine="420" w:firstLineChars="200"/>
              <w:rPr>
                <w:rFonts w:hint="default" w:ascii="宋体" w:hAnsi="宋体" w:eastAsia="宋体"/>
                <w:color w:val="000000" w:themeColor="text1"/>
                <w:sz w:val="24"/>
                <w:lang w:val="en-US" w:eastAsia="zh-CN"/>
                <w14:textFill>
                  <w14:solidFill>
                    <w14:schemeClr w14:val="tx1"/>
                  </w14:solidFill>
                </w14:textFill>
              </w:rPr>
            </w:pPr>
            <w:r>
              <w:rPr>
                <w:rFonts w:hint="eastAsia"/>
                <w:color w:val="000000" w:themeColor="text1"/>
                <w14:textFill>
                  <w14:solidFill>
                    <w14:schemeClr w14:val="tx1"/>
                  </w14:solidFill>
                </w14:textFill>
              </w:rPr>
              <w:t>火灾发生率0</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0</w:t>
            </w:r>
          </w:p>
          <w:p>
            <w:pPr>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无重大安全事件发生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0</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以上目标指标均已完成。考核小组人员：</w:t>
            </w:r>
            <w:r>
              <w:rPr>
                <w:rFonts w:hint="eastAsia"/>
                <w:color w:val="000000" w:themeColor="text1"/>
                <w14:textFill>
                  <w14:solidFill>
                    <w14:schemeClr w14:val="tx1"/>
                  </w14:solidFill>
                </w14:textFill>
              </w:rPr>
              <w:t>李德超</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杨德雨</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等；考核时间： </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2019.9-2020</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月 </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见《目标指标和管理方案》《目标指标和管理方案考核表》，管理方案规定了措施方法、完成时间表、责任人、资金等情况。详见各部门记录。</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60" w:type="dxa"/>
            <w:vAlign w:val="top"/>
          </w:tcPr>
          <w:p>
            <w:pPr>
              <w:spacing w:line="28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资源、总则</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960" w:type="dxa"/>
            <w:vAlign w:val="top"/>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ES7.1</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公司根据公司经营运行需要，配备了各岗位所需人员、经营用房屋、</w:t>
            </w:r>
            <w:r>
              <w:rPr>
                <w:rFonts w:hint="eastAsia"/>
                <w:color w:val="000000" w:themeColor="text1"/>
                <w:lang w:val="en-US" w:eastAsia="zh-CN"/>
                <w14:textFill>
                  <w14:solidFill>
                    <w14:schemeClr w14:val="tx1"/>
                  </w14:solidFill>
                </w14:textFill>
              </w:rPr>
              <w:t>绿化</w:t>
            </w:r>
            <w:r>
              <w:rPr>
                <w:rFonts w:hint="eastAsia"/>
                <w:color w:val="000000" w:themeColor="text1"/>
                <w14:textFill>
                  <w14:solidFill>
                    <w14:schemeClr w14:val="tx1"/>
                  </w14:solidFill>
                </w14:textFill>
              </w:rPr>
              <w:t>设备、办公设备（电脑、打印机等）、消防器材、劳动防护用品、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经营运行资金等资源，体系建立至今，未发生资源不足影响满足客户要求的现象.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公司的生产地址位于：</w:t>
            </w:r>
            <w:r>
              <w:rPr>
                <w:rFonts w:asciiTheme="minorEastAsia" w:hAnsiTheme="minorEastAsia" w:eastAsiaTheme="minorEastAsia"/>
                <w:color w:val="000000" w:themeColor="text1"/>
                <w:sz w:val="20"/>
                <w14:textFill>
                  <w14:solidFill>
                    <w14:schemeClr w14:val="tx1"/>
                  </w14:solidFill>
                </w14:textFill>
              </w:rPr>
              <w:t>北京市东城区隆福寺99号金隆基大厦</w:t>
            </w:r>
          </w:p>
          <w:p>
            <w:pPr>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租用办公房</w:t>
            </w:r>
            <w:r>
              <w:rPr>
                <w:rFonts w:hint="eastAsia"/>
                <w:color w:val="000000" w:themeColor="text1"/>
                <w14:textFill>
                  <w14:solidFill>
                    <w14:schemeClr w14:val="tx1"/>
                  </w14:solidFill>
                </w14:textFill>
              </w:rPr>
              <w:t>，面积</w:t>
            </w:r>
            <w:r>
              <w:rPr>
                <w:rFonts w:hint="eastAsia"/>
                <w:color w:val="000000" w:themeColor="text1"/>
                <w:lang w:val="en-US" w:eastAsia="zh-CN"/>
                <w14:textFill>
                  <w14:solidFill>
                    <w14:schemeClr w14:val="tx1"/>
                  </w14:solidFill>
                </w14:textFill>
              </w:rPr>
              <w:t>200</w:t>
            </w:r>
            <w:r>
              <w:rPr>
                <w:rFonts w:hint="eastAsia"/>
                <w:color w:val="000000" w:themeColor="text1"/>
                <w14:textFill>
                  <w14:solidFill>
                    <w14:schemeClr w14:val="tx1"/>
                  </w14:solidFill>
                </w14:textFill>
              </w:rPr>
              <w:t>平，</w:t>
            </w:r>
            <w:r>
              <w:rPr>
                <w:rFonts w:hint="eastAsia"/>
                <w:color w:val="000000" w:themeColor="text1"/>
                <w:lang w:val="en-US" w:eastAsia="zh-CN"/>
                <w14:textFill>
                  <w14:solidFill>
                    <w14:schemeClr w14:val="tx1"/>
                  </w14:solidFill>
                </w14:textFill>
              </w:rPr>
              <w:t>有</w:t>
            </w:r>
            <w:r>
              <w:rPr>
                <w:rFonts w:hint="eastAsia"/>
                <w:color w:val="000000" w:themeColor="text1"/>
                <w14:textFill>
                  <w14:solidFill>
                    <w14:schemeClr w14:val="tx1"/>
                  </w14:solidFill>
                </w14:textFill>
              </w:rPr>
              <w:t>租房协议，公司配备有</w:t>
            </w:r>
            <w:r>
              <w:rPr>
                <w:rFonts w:hint="eastAsia" w:ascii="Times New Roman" w:hAnsi="Times New Roman" w:eastAsia="宋体" w:cs="Times New Roman"/>
                <w:b/>
                <w:bCs/>
                <w:color w:val="000000" w:themeColor="text1"/>
                <w:spacing w:val="10"/>
                <w:kern w:val="2"/>
                <w:sz w:val="21"/>
                <w:szCs w:val="22"/>
                <w:lang w:val="en-US" w:eastAsia="zh-CN" w:bidi="ar-SA"/>
                <w14:textFill>
                  <w14:solidFill>
                    <w14:schemeClr w14:val="tx1"/>
                  </w14:solidFill>
                </w14:textFill>
              </w:rPr>
              <w:t>清洁服务（不含洗车服务）</w:t>
            </w:r>
            <w:r>
              <w:rPr>
                <w:rFonts w:hint="eastAsia" w:ascii="宋体" w:hAnsi="宋体"/>
                <w:b/>
                <w:bCs/>
                <w:color w:val="000000" w:themeColor="text1"/>
                <w:szCs w:val="21"/>
                <w14:textFill>
                  <w14:solidFill>
                    <w14:schemeClr w14:val="tx1"/>
                  </w14:solidFill>
                </w14:textFill>
              </w:rPr>
              <w:t>；园林绿化服务</w:t>
            </w:r>
            <w:r>
              <w:rPr>
                <w:rFonts w:hint="eastAsia"/>
                <w:color w:val="000000" w:themeColor="text1"/>
                <w14:textFill>
                  <w14:solidFill>
                    <w14:schemeClr w14:val="tx1"/>
                  </w14:solidFill>
                </w14:textFill>
              </w:rPr>
              <w:t>设备及办公配备。</w:t>
            </w:r>
          </w:p>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部门：</w:t>
            </w:r>
            <w:r>
              <w:rPr>
                <w:rFonts w:hint="eastAsia"/>
                <w:color w:val="000000" w:themeColor="text1"/>
                <w14:textFill>
                  <w14:solidFill>
                    <w14:schemeClr w14:val="tx1"/>
                  </w14:solidFill>
                </w14:textFill>
              </w:rPr>
              <w:t>综合部、工程部、项目部</w:t>
            </w:r>
          </w:p>
          <w:p>
            <w:pPr>
              <w:pStyle w:val="2"/>
              <w:rPr>
                <w:rFonts w:hint="default"/>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人员：</w:t>
            </w:r>
            <w:r>
              <w:rPr>
                <w:rFonts w:hint="eastAsia" w:ascii="宋体" w:hAnsi="宋体"/>
                <w:color w:val="000000" w:themeColor="text1"/>
                <w:szCs w:val="21"/>
                <w14:textFill>
                  <w14:solidFill>
                    <w14:schemeClr w14:val="tx1"/>
                  </w14:solidFill>
                </w14:textFill>
              </w:rPr>
              <w:t>管理</w:t>
            </w:r>
            <w:r>
              <w:rPr>
                <w:rFonts w:hint="eastAsia" w:ascii="宋体" w:hAnsi="宋体"/>
                <w:color w:val="000000" w:themeColor="text1"/>
                <w:szCs w:val="21"/>
                <w:lang w:val="en-US" w:eastAsia="zh-CN"/>
                <w14:textFill>
                  <w14:solidFill>
                    <w14:schemeClr w14:val="tx1"/>
                  </w14:solidFill>
                </w14:textFill>
              </w:rPr>
              <w:t>人员、绿化</w:t>
            </w:r>
            <w:r>
              <w:rPr>
                <w:rFonts w:hint="eastAsia"/>
                <w:color w:val="000000" w:themeColor="text1"/>
                <w:lang w:val="en-US" w:eastAsia="zh-CN"/>
                <w14:textFill>
                  <w14:solidFill>
                    <w14:schemeClr w14:val="tx1"/>
                  </w14:solidFill>
                </w14:textFill>
              </w:rPr>
              <w:t>人员</w:t>
            </w:r>
            <w:r>
              <w:rPr>
                <w:rFonts w:hint="eastAsia"/>
                <w:color w:val="000000" w:themeColor="text1"/>
                <w14:textFill>
                  <w14:solidFill>
                    <w14:schemeClr w14:val="tx1"/>
                  </w14:solidFill>
                </w14:textFill>
              </w:rPr>
              <w:t>、办公人员</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销售服务人员等。</w:t>
            </w:r>
            <w:r>
              <w:rPr>
                <w:rFonts w:hint="eastAsia"/>
                <w:color w:val="000000" w:themeColor="text1"/>
                <w:lang w:val="en-US" w:eastAsia="zh-CN"/>
                <w14:textFill>
                  <w14:solidFill>
                    <w14:schemeClr w14:val="tx1"/>
                  </w14:solidFill>
                </w14:textFill>
              </w:rPr>
              <w:t>查阅了人员资质证书，提供园林绿化管理资格证等，见附件</w:t>
            </w:r>
          </w:p>
          <w:p>
            <w:pPr>
              <w:pStyle w:val="2"/>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基础设施：办公用房，面积</w:t>
            </w:r>
            <w:r>
              <w:rPr>
                <w:rFonts w:hint="eastAsia"/>
                <w:color w:val="000000" w:themeColor="text1"/>
                <w:lang w:val="en-US" w:eastAsia="zh-CN"/>
                <w14:textFill>
                  <w14:solidFill>
                    <w14:schemeClr w14:val="tx1"/>
                  </w14:solidFill>
                </w14:textFill>
              </w:rPr>
              <w:t>200平米，房屋为租赁，有租赁合同</w:t>
            </w:r>
          </w:p>
          <w:p>
            <w:pPr>
              <w:pStyle w:val="2"/>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办公设备：电脑、打印机、扫描仪等</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园林绿化</w:t>
            </w:r>
            <w:r>
              <w:rPr>
                <w:rFonts w:hint="eastAsia"/>
                <w:color w:val="000000" w:themeColor="text1"/>
                <w14:textFill>
                  <w14:solidFill>
                    <w14:schemeClr w14:val="tx1"/>
                  </w14:solidFill>
                </w14:textFill>
              </w:rPr>
              <w:t>：铁锹、铁镐、手据、园艺剪、割草机、粗枝剪、打草机等</w:t>
            </w:r>
          </w:p>
          <w:p>
            <w:pPr>
              <w:pStyle w:val="2"/>
              <w:rPr>
                <w:rFonts w:hint="eastAsia" w:ascii="宋体" w:hAnsi="宋体"/>
                <w:color w:val="000000" w:themeColor="text1"/>
                <w:spacing w:val="-10"/>
                <w:sz w:val="20"/>
                <w:szCs w:val="20"/>
                <w:lang w:val="en-US" w:eastAsia="zh-CN"/>
                <w14:textFill>
                  <w14:solidFill>
                    <w14:schemeClr w14:val="tx1"/>
                  </w14:solidFill>
                </w14:textFill>
              </w:rPr>
            </w:pPr>
            <w:r>
              <w:rPr>
                <w:rFonts w:hint="eastAsia" w:ascii="宋体" w:hAnsi="宋体"/>
                <w:color w:val="000000" w:themeColor="text1"/>
                <w:spacing w:val="-10"/>
                <w:sz w:val="20"/>
                <w:szCs w:val="20"/>
                <w:lang w:val="en-US" w:eastAsia="zh-CN"/>
                <w14:textFill>
                  <w14:solidFill>
                    <w14:schemeClr w14:val="tx1"/>
                  </w14:solidFill>
                </w14:textFill>
              </w:rPr>
              <w:t>清洁服务：扫帚、拖把、抹布、洗地机、扫地机等</w:t>
            </w:r>
          </w:p>
          <w:p>
            <w:pPr>
              <w:pStyle w:val="2"/>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环保及消防设施：垃圾桶、灭火器</w:t>
            </w:r>
          </w:p>
          <w:p>
            <w:pPr>
              <w:pStyle w:val="2"/>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资源满足需求</w:t>
            </w:r>
          </w:p>
          <w:p>
            <w:pPr>
              <w:pStyle w:val="2"/>
              <w:rPr>
                <w:color w:val="000000" w:themeColor="text1"/>
                <w14:textFill>
                  <w14:solidFill>
                    <w14:schemeClr w14:val="tx1"/>
                  </w14:solidFill>
                </w14:textFill>
              </w:rPr>
            </w:pPr>
          </w:p>
          <w:p>
            <w:pPr>
              <w:pStyle w:val="2"/>
              <w:rPr>
                <w:rFonts w:asciiTheme="minorEastAsia" w:hAnsiTheme="minorEastAsia" w:eastAsiaTheme="minorEastAsia" w:cstheme="minorEastAsia"/>
                <w:bCs w:val="0"/>
                <w:color w:val="000000" w:themeColor="text1"/>
                <w:szCs w:val="21"/>
                <w14:textFill>
                  <w14:solidFill>
                    <w14:schemeClr w14:val="tx1"/>
                  </w14:solidFill>
                </w14:textFill>
              </w:rPr>
            </w:pP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沟通</w:t>
            </w:r>
          </w:p>
          <w:p>
            <w:pPr>
              <w:spacing w:line="280" w:lineRule="exact"/>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960" w:type="dxa"/>
            <w:vAlign w:val="top"/>
          </w:tcPr>
          <w:p>
            <w:pPr>
              <w:spacing w:line="28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ES7.4</w:t>
            </w:r>
          </w:p>
          <w:p>
            <w:pPr>
              <w:spacing w:line="280" w:lineRule="exact"/>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p>
        </w:tc>
        <w:tc>
          <w:tcPr>
            <w:tcW w:w="10268" w:type="dxa"/>
            <w:vAlign w:val="center"/>
          </w:tcPr>
          <w:p>
            <w:pPr>
              <w:spacing w:line="280" w:lineRule="exact"/>
              <w:ind w:firstLine="210" w:firstLineChars="100"/>
              <w:rPr>
                <w:color w:val="000000" w:themeColor="text1"/>
                <w14:textFill>
                  <w14:solidFill>
                    <w14:schemeClr w14:val="tx1"/>
                  </w14:solidFill>
                </w14:textFill>
              </w:rPr>
            </w:pPr>
          </w:p>
          <w:p>
            <w:pPr>
              <w:spacing w:line="280" w:lineRule="exact"/>
              <w:ind w:firstLine="210" w:firstLineChars="100"/>
              <w:rPr>
                <w:color w:val="000000" w:themeColor="text1"/>
                <w14:textFill>
                  <w14:solidFill>
                    <w14:schemeClr w14:val="tx1"/>
                  </w14:solidFill>
                </w14:textFill>
              </w:rPr>
            </w:pPr>
            <w:r>
              <w:rPr>
                <w:rFonts w:hint="eastAsia"/>
                <w:color w:val="000000" w:themeColor="text1"/>
                <w14:textFill>
                  <w14:solidFill>
                    <w14:schemeClr w14:val="tx1"/>
                  </w14:solidFill>
                </w14:textFill>
              </w:rPr>
              <w:t>公司编制并实施了《信息交流和协商沟通管理程序》，规定了职责、工作流程，包括内部沟通和外部沟通的方法和要求。</w:t>
            </w:r>
          </w:p>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确定了质量、环境、职业健康安全管理体系相关的内部和外部沟通，包括：沟通什么；何时沟通；与谁沟通；如何沟通；由谁负责，内外部沟通具体体现在公司内部工作会议、质量、环境、职业健康安全例会、员工的培训、公司宣传栏等，与外部的沟通具体体现在合同签订、满意度调查。与环保、安监部门及顾客和供方等方面。</w:t>
            </w:r>
          </w:p>
          <w:p>
            <w:pPr>
              <w:spacing w:line="28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现场查阅内部交流：方针、目标完成情况、内审和管理评审报告、不符合信息等。</w:t>
            </w:r>
          </w:p>
          <w:p>
            <w:pPr>
              <w:spacing w:line="280" w:lineRule="exact"/>
              <w:rPr>
                <w:rFonts w:hint="eastAsia" w:ascii="Times New Roman" w:hAnsi="Times New Roman" w:eastAsia="宋体" w:cs="Times New Roman"/>
                <w:bCs/>
                <w:color w:val="000000" w:themeColor="text1"/>
                <w:spacing w:val="10"/>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外部交流：通过发放《关于对相关方要求的告知书》与相关方就相关环境、职业健康安全信息进行相互沟通。</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绩效测量和监视</w:t>
            </w:r>
          </w:p>
        </w:tc>
        <w:tc>
          <w:tcPr>
            <w:tcW w:w="960" w:type="dxa"/>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ES</w:t>
            </w:r>
          </w:p>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9.1.1</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公司编制了《内部审核控制程序 》、《管理评审控制程序》，对体系的运行进行测量和监视； 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查阅“部门质量目标策划及考核记录表”，</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提供两个季度的管理目标指标的检查考核工作，均完成目标考核要求。</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查阅“环境和职业健康安全目标指标完成情况检查表”，体系建立至今共进行了一个季度的管理目标指标的检查考核工作，均完成目标考核要求。</w:t>
            </w:r>
          </w:p>
          <w:p>
            <w:pPr>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环境和职业健康安全运行管理检查情况：抽查20</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1"/>
                <w14:textFill>
                  <w14:solidFill>
                    <w14:schemeClr w14:val="tx1"/>
                  </w14:solidFill>
                </w14:textFill>
              </w:rPr>
              <w:t>月份《环境、安全检查表》， 检查人-</w:t>
            </w:r>
            <w:r>
              <w:rPr>
                <w:rFonts w:hint="eastAsia"/>
                <w:color w:val="000000" w:themeColor="text1"/>
                <w:kern w:val="0"/>
                <w:sz w:val="22"/>
                <w14:textFill>
                  <w14:solidFill>
                    <w14:schemeClr w14:val="tx1"/>
                  </w14:solidFill>
                </w14:textFill>
              </w:rPr>
              <w:t>郭树年</w:t>
            </w:r>
            <w:r>
              <w:rPr>
                <w:rFonts w:hint="eastAsia" w:asciiTheme="minorEastAsia" w:hAnsiTheme="minorEastAsia" w:eastAsiaTheme="minorEastAsia" w:cstheme="minorEastAsia"/>
                <w:color w:val="000000" w:themeColor="text1"/>
                <w:szCs w:val="21"/>
                <w14:textFill>
                  <w14:solidFill>
                    <w14:schemeClr w14:val="tx1"/>
                  </w14:solidFill>
                </w14:textFill>
              </w:rPr>
              <w:t>，受检部门：</w:t>
            </w:r>
            <w:r>
              <w:rPr>
                <w:rFonts w:hint="eastAsia"/>
                <w:color w:val="000000" w:themeColor="text1"/>
                <w14:textFill>
                  <w14:solidFill>
                    <w14:schemeClr w14:val="tx1"/>
                  </w14:solidFill>
                </w14:textFill>
              </w:rPr>
              <w:t>综合部</w:t>
            </w:r>
            <w:r>
              <w:rPr>
                <w:color w:val="000000" w:themeColor="text1"/>
                <w14:textFill>
                  <w14:solidFill>
                    <w14:schemeClr w14:val="tx1"/>
                  </w14:solidFill>
                </w14:textFill>
              </w:rPr>
              <w:t xml:space="preserve">   工程部</w:t>
            </w:r>
            <w:r>
              <w:rPr>
                <w:rFonts w:hint="eastAsia"/>
                <w:color w:val="000000" w:themeColor="text1"/>
                <w14:textFill>
                  <w14:solidFill>
                    <w14:schemeClr w14:val="tx1"/>
                  </w14:solidFill>
                </w14:textFill>
              </w:rPr>
              <w:t xml:space="preserve"> 项目部</w:t>
            </w:r>
            <w:r>
              <w:rPr>
                <w:rFonts w:hint="eastAsia" w:asciiTheme="minorEastAsia" w:hAnsiTheme="minorEastAsia" w:eastAsiaTheme="minorEastAsia" w:cstheme="minorEastAsia"/>
                <w:color w:val="000000" w:themeColor="text1"/>
                <w:szCs w:val="21"/>
                <w14:textFill>
                  <w14:solidFill>
                    <w14:schemeClr w14:val="tx1"/>
                  </w14:solidFill>
                </w14:textFill>
              </w:rPr>
              <w:t>等，对现场的垃圾是否及时清理、员工按规定穿戴厂服及防护用品、是否按操作规程作业、工作人员不得在非吸烟区内吸烟、消防设施是否完好、消防通道是否畅通、设备设施线路是否损坏、破、漏、设备运作时是否出现漏油、滴油现象、存放区场所有应急措施且运行良好、生产安全用电情况：用电是否有乱搭线现象；接地保护是否完好等进行检查。</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查公司每月为员工购买有养老等保险，提供保险单。</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目前未发现公司出现违规现象。无被动性绩效的监视和测量。</w:t>
            </w:r>
          </w:p>
          <w:p>
            <w:pPr>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公司不需要对环境影响的运行的关键特性和职业健康安全绩效进行监测和测量的设备。</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管理评审</w:t>
            </w:r>
          </w:p>
        </w:tc>
        <w:tc>
          <w:tcPr>
            <w:tcW w:w="960" w:type="dxa"/>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w:t>
            </w:r>
          </w:p>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9.3</w:t>
            </w:r>
          </w:p>
          <w:p>
            <w:pPr>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公司于</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 xml:space="preserve">日 </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依据：GB/T19001-2016\GB/T24001-2016\GB/T</w:t>
            </w:r>
            <w:r>
              <w:rPr>
                <w:rFonts w:hint="eastAsia"/>
                <w:color w:val="000000" w:themeColor="text1"/>
                <w:lang w:val="en-US" w:eastAsia="zh-CN"/>
                <w14:textFill>
                  <w14:solidFill>
                    <w14:schemeClr w14:val="tx1"/>
                  </w14:solidFill>
                </w14:textFill>
              </w:rPr>
              <w:t>45001</w:t>
            </w:r>
            <w:r>
              <w:rPr>
                <w:rFonts w:hint="eastAsia"/>
                <w:color w:val="000000" w:themeColor="text1"/>
                <w14:textFill>
                  <w14:solidFill>
                    <w14:schemeClr w14:val="tx1"/>
                  </w14:solidFill>
                </w14:textFill>
              </w:rPr>
              <w:t>-20</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标准进行管理评审。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查阅公司管理评审资料：</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一、，综合部 发布管理评审计划， 拟稿-综合部 ， 签发-</w:t>
            </w:r>
            <w:r>
              <w:rPr>
                <w:rFonts w:hint="eastAsia"/>
                <w:color w:val="000000" w:themeColor="text1"/>
                <w:kern w:val="0"/>
                <w:sz w:val="22"/>
                <w14:textFill>
                  <w14:solidFill>
                    <w14:schemeClr w14:val="tx1"/>
                  </w14:solidFill>
                </w14:textFill>
              </w:rPr>
              <w:t>张清兰</w:t>
            </w:r>
            <w:r>
              <w:rPr>
                <w:rFonts w:hint="eastAsia"/>
                <w:color w:val="000000" w:themeColor="text1"/>
                <w14:textFill>
                  <w14:solidFill>
                    <w14:schemeClr w14:val="tx1"/>
                  </w14:solidFill>
                </w14:textFill>
              </w:rPr>
              <w:t>，评审方式：会议评审，拟评审时间：20</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二、管理评审输入：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方针目标适宜性、质量目标的实现程度、体系策划和运行情况、可能的变更、外部供方的绩效、内审情况、顾客满意情况及纠正措施完成情况，应对风险和机遇所采取措施的有效性以及改进的建议等等。</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以上内容可通过会上口头发言及工作总结、汇报等形式体现。</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查看“管理评审报告”，报告中对本次管理评审做了总结，评价了公司建立、运行管理体系的效果。</w:t>
            </w:r>
          </w:p>
          <w:p>
            <w:pPr>
              <w:rPr>
                <w:rFonts w:cs="Lucida Sans"/>
                <w:b/>
                <w:color w:val="000000" w:themeColor="text1"/>
                <w14:textFill>
                  <w14:solidFill>
                    <w14:schemeClr w14:val="tx1"/>
                  </w14:solidFill>
                </w14:textFill>
              </w:rPr>
            </w:pPr>
            <w:r>
              <w:rPr>
                <w:rFonts w:hint="eastAsia"/>
                <w:color w:val="000000" w:themeColor="text1"/>
                <w14:textFill>
                  <w14:solidFill>
                    <w14:schemeClr w14:val="tx1"/>
                  </w14:solidFill>
                </w14:textFill>
              </w:rPr>
              <w:t>参会人员：</w:t>
            </w:r>
            <w:r>
              <w:rPr>
                <w:rFonts w:hint="eastAsia"/>
                <w:color w:val="000000" w:themeColor="text1"/>
                <w:kern w:val="0"/>
                <w:sz w:val="22"/>
                <w14:textFill>
                  <w14:solidFill>
                    <w14:schemeClr w14:val="tx1"/>
                  </w14:solidFill>
                </w14:textFill>
              </w:rPr>
              <w:t>张清兰</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郭树年</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杨振兴</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刘桂贤</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张英飒</w:t>
            </w:r>
            <w:r>
              <w:rPr>
                <w:rFonts w:hint="eastAsia"/>
                <w:color w:val="000000" w:themeColor="text1"/>
                <w:kern w:val="0"/>
                <w:sz w:val="22"/>
                <w:lang w:eastAsia="zh-CN"/>
                <w14:textFill>
                  <w14:solidFill>
                    <w14:schemeClr w14:val="tx1"/>
                  </w14:solidFill>
                </w14:textFill>
              </w:rPr>
              <w:t>、</w:t>
            </w:r>
            <w:r>
              <w:rPr>
                <w:rFonts w:hint="eastAsia"/>
                <w:color w:val="000000" w:themeColor="text1"/>
                <w:kern w:val="0"/>
                <w:sz w:val="22"/>
                <w14:textFill>
                  <w14:solidFill>
                    <w14:schemeClr w14:val="tx1"/>
                  </w14:solidFill>
                </w14:textFill>
              </w:rPr>
              <w:t>张春英</w:t>
            </w:r>
            <w:r>
              <w:rPr>
                <w:rFonts w:hint="eastAsia"/>
                <w:color w:val="000000" w:themeColor="text1"/>
                <w14:textFill>
                  <w14:solidFill>
                    <w14:schemeClr w14:val="tx1"/>
                  </w14:solidFill>
                </w14:textFill>
              </w:rPr>
              <w:t>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四、管理评审输出/评审结论：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通过本次评审，最终得出本公司管理体系是适宜的、充分的、有效的，方针和目标是适宜的和有效的。提出了管理评审改进决议：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1、加强供应商质量控制,改进措施包括(1)成立供应商评定小组和进行质量，全面负责供应商评估；(2)制定供应商质量考核指标；(3)制定供应商管理控制办法；(4)实施供应商现场评估；(5)每月实施供应商质量考评；(6)与供应商签订供应商《质量保证协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2、加强内部管理，提高人员综合素质。改进措施包括（1）制定年度培训计划，策划并实施5S管理、成本管理、绩效管理、生产管理、项目管理等方面的培训。（2）培训的实施，并评估培训效果。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3、ISO管理体系文件改进，改进措施包括（1）编制文件改进计划；（2）进一步依据标准要求和结合公司发展要求，修订管理手册和程序文；（3）完善操作指导书，工艺卡，控制计划及设备管理制度。</w:t>
            </w:r>
          </w:p>
          <w:p>
            <w:pPr>
              <w:pStyle w:val="2"/>
              <w:ind w:firstLine="460" w:firstLineChars="200"/>
              <w:rPr>
                <w:rFonts w:eastAsiaTheme="minorEastAsia"/>
                <w:color w:val="000000" w:themeColor="text1"/>
                <w14:textFill>
                  <w14:solidFill>
                    <w14:schemeClr w14:val="tx1"/>
                  </w14:solidFill>
                </w14:textFill>
              </w:rPr>
            </w:pPr>
            <w:r>
              <w:rPr>
                <w:rFonts w:hint="eastAsia" w:asciiTheme="minorEastAsia" w:hAnsiTheme="minorEastAsia" w:eastAsiaTheme="minorEastAsia" w:cstheme="minorEastAsia"/>
                <w:bCs w:val="0"/>
                <w:color w:val="000000" w:themeColor="text1"/>
                <w:szCs w:val="21"/>
                <w14:textFill>
                  <w14:solidFill>
                    <w14:schemeClr w14:val="tx1"/>
                  </w14:solidFill>
                </w14:textFill>
              </w:rPr>
              <w:t>基本符合。</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160" w:type="dxa"/>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体系的运行现状及改进的要求</w:t>
            </w:r>
          </w:p>
        </w:tc>
        <w:tc>
          <w:tcPr>
            <w:tcW w:w="960" w:type="dxa"/>
            <w:vAlign w:val="top"/>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ES 10.1</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vAlign w:val="top"/>
          </w:tcPr>
          <w:p>
            <w:pPr>
              <w:spacing w:line="28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——具体事实可见审核10.2条款记录。</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持续改进</w:t>
            </w:r>
          </w:p>
        </w:tc>
        <w:tc>
          <w:tcPr>
            <w:tcW w:w="960" w:type="dxa"/>
            <w:vAlign w:val="top"/>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E</w:t>
            </w:r>
            <w:r>
              <w:rPr>
                <w:rFonts w:hint="eastAsia"/>
                <w:color w:val="000000" w:themeColor="text1"/>
                <w:szCs w:val="21"/>
                <w:lang w:val="en-US" w:eastAsia="zh-CN"/>
                <w14:textFill>
                  <w14:solidFill>
                    <w14:schemeClr w14:val="tx1"/>
                  </w14:solidFill>
                </w14:textFill>
              </w:rPr>
              <w:t>S</w:t>
            </w:r>
            <w:r>
              <w:rPr>
                <w:rFonts w:hint="eastAsia"/>
                <w:color w:val="000000" w:themeColor="text1"/>
                <w:szCs w:val="21"/>
                <w14:textFill>
                  <w14:solidFill>
                    <w14:schemeClr w14:val="tx1"/>
                  </w14:solidFill>
                </w14:textFill>
              </w:rPr>
              <w:t>10.3</w:t>
            </w:r>
          </w:p>
          <w:p>
            <w:pPr>
              <w:spacing w:line="28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0268" w:type="dxa"/>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公司制定了 《纠正预防措施控制程序》，公司规定了纠正措施的来源,明确了对不合格项应进行原因分析,制定纠正措施计划,实施跟踪验证,确保所采取 的纠正措施满足预期要求。对以上不合格品采取退货货处置，对其进行原因分析并采取纠正措施，经主管经理验收，有效。内审中发现的不符合项已经采取纠正措施，整改完毕且有效。</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为确保公司提供给客户合格的产品和服务，公司开展检查和考核工作。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根据不同过程、不同产品和不同要求，采取不同的方法进行监视、测量和分析。无其他不符合发生。</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公司利用质量方针、目标、内审和外审、数据分析、纠正和预防措施以及管理评审，识别任何改进的机会，持续改进质量管理体系的适宜性、充分性和有效性。</w:t>
            </w:r>
          </w:p>
          <w:p>
            <w:pPr>
              <w:ind w:firstLine="420" w:firstLineChars="200"/>
              <w:rPr>
                <w:rFonts w:eastAsia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通过交谈，基本能清楚纠正和预防措施的控制要求。改进的示例包括纠正、纠正措施、持续改进、创新等。</w:t>
            </w:r>
          </w:p>
        </w:tc>
        <w:tc>
          <w:tcPr>
            <w:tcW w:w="1321" w:type="dxa"/>
          </w:tcPr>
          <w:p>
            <w:pPr>
              <w:rPr>
                <w:rFonts w:asciiTheme="minorEastAsia" w:hAnsiTheme="minorEastAsia" w:eastAsiaTheme="minorEastAsia" w:cstheme="minorEastAsia"/>
                <w:color w:val="000000" w:themeColor="text1"/>
                <w:szCs w:val="21"/>
                <w14:textFill>
                  <w14:solidFill>
                    <w14:schemeClr w14:val="tx1"/>
                  </w14:solidFill>
                </w14:textFill>
              </w:rPr>
            </w:pPr>
          </w:p>
        </w:tc>
      </w:tr>
    </w:tbl>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2"/>
        <w:rFonts w:hint="default"/>
      </w:rPr>
      <w:t xml:space="preserve">        </w:t>
    </w:r>
    <w:r>
      <w:rPr>
        <w:rStyle w:val="12"/>
        <w:rFonts w:hint="default"/>
        <w:w w:val="90"/>
      </w:rPr>
      <w:t>Beijing International Standard united Certification Co.,Ltd.</w:t>
    </w:r>
    <w:r>
      <w:rPr>
        <w:rStyle w:val="12"/>
        <w:rFonts w:hint="default"/>
        <w:w w:val="90"/>
        <w:szCs w:val="21"/>
      </w:rPr>
      <w:t xml:space="preserve">  </w:t>
    </w:r>
    <w:r>
      <w:rPr>
        <w:rStyle w:val="12"/>
        <w:rFonts w:hint="default"/>
        <w:w w:val="90"/>
        <w:sz w:val="20"/>
      </w:rPr>
      <w:t xml:space="preserve"> </w:t>
    </w:r>
    <w:r>
      <w:rPr>
        <w:rStyle w:val="12"/>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E1307"/>
    <w:multiLevelType w:val="singleLevel"/>
    <w:tmpl w:val="901E1307"/>
    <w:lvl w:ilvl="0" w:tentative="0">
      <w:start w:val="3"/>
      <w:numFmt w:val="chineseCounting"/>
      <w:suff w:val="nothing"/>
      <w:lvlText w:val="%1、"/>
      <w:lvlJc w:val="left"/>
      <w:rPr>
        <w:rFonts w:hint="eastAsia"/>
      </w:rPr>
    </w:lvl>
  </w:abstractNum>
  <w:abstractNum w:abstractNumId="1">
    <w:nsid w:val="73FBC2A2"/>
    <w:multiLevelType w:val="singleLevel"/>
    <w:tmpl w:val="73FBC2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56351"/>
    <w:rsid w:val="000E4A90"/>
    <w:rsid w:val="00101E94"/>
    <w:rsid w:val="001A2D7F"/>
    <w:rsid w:val="001F4908"/>
    <w:rsid w:val="0023631C"/>
    <w:rsid w:val="00337922"/>
    <w:rsid w:val="00340867"/>
    <w:rsid w:val="00380837"/>
    <w:rsid w:val="003A198A"/>
    <w:rsid w:val="00410914"/>
    <w:rsid w:val="004D7B08"/>
    <w:rsid w:val="00536930"/>
    <w:rsid w:val="00541924"/>
    <w:rsid w:val="00564E53"/>
    <w:rsid w:val="00644FE2"/>
    <w:rsid w:val="0067640C"/>
    <w:rsid w:val="006E678B"/>
    <w:rsid w:val="007757F3"/>
    <w:rsid w:val="007E6AEB"/>
    <w:rsid w:val="00851DA6"/>
    <w:rsid w:val="008973EE"/>
    <w:rsid w:val="008F2A72"/>
    <w:rsid w:val="00971600"/>
    <w:rsid w:val="009973B4"/>
    <w:rsid w:val="009B6960"/>
    <w:rsid w:val="009C28C1"/>
    <w:rsid w:val="009F7EED"/>
    <w:rsid w:val="00A0798D"/>
    <w:rsid w:val="00A61CA2"/>
    <w:rsid w:val="00AF0AAB"/>
    <w:rsid w:val="00BA636F"/>
    <w:rsid w:val="00BF597E"/>
    <w:rsid w:val="00C51A36"/>
    <w:rsid w:val="00C55228"/>
    <w:rsid w:val="00C77D06"/>
    <w:rsid w:val="00CB3F69"/>
    <w:rsid w:val="00CE315A"/>
    <w:rsid w:val="00D069B2"/>
    <w:rsid w:val="00D06F59"/>
    <w:rsid w:val="00D8388C"/>
    <w:rsid w:val="00DE6C09"/>
    <w:rsid w:val="00DF08E9"/>
    <w:rsid w:val="00E808C0"/>
    <w:rsid w:val="00EB0164"/>
    <w:rsid w:val="00ED0F62"/>
    <w:rsid w:val="00EF58E8"/>
    <w:rsid w:val="013373E3"/>
    <w:rsid w:val="01577D76"/>
    <w:rsid w:val="018B0ABE"/>
    <w:rsid w:val="02BA0640"/>
    <w:rsid w:val="02D300F8"/>
    <w:rsid w:val="03272194"/>
    <w:rsid w:val="038A04FA"/>
    <w:rsid w:val="03FD4D0A"/>
    <w:rsid w:val="04722762"/>
    <w:rsid w:val="04803A86"/>
    <w:rsid w:val="04FA0FAF"/>
    <w:rsid w:val="053143BF"/>
    <w:rsid w:val="055B6B99"/>
    <w:rsid w:val="060C75DC"/>
    <w:rsid w:val="06123E54"/>
    <w:rsid w:val="06427C24"/>
    <w:rsid w:val="06856793"/>
    <w:rsid w:val="06BC433D"/>
    <w:rsid w:val="07174281"/>
    <w:rsid w:val="07470AAF"/>
    <w:rsid w:val="084960B7"/>
    <w:rsid w:val="08593B62"/>
    <w:rsid w:val="088B504C"/>
    <w:rsid w:val="08B77779"/>
    <w:rsid w:val="08D97406"/>
    <w:rsid w:val="08E150B6"/>
    <w:rsid w:val="0A135F08"/>
    <w:rsid w:val="0A9549D1"/>
    <w:rsid w:val="0AD84443"/>
    <w:rsid w:val="0AE87D2F"/>
    <w:rsid w:val="0AEB31AF"/>
    <w:rsid w:val="0AFD6034"/>
    <w:rsid w:val="0B38319E"/>
    <w:rsid w:val="0B917DA9"/>
    <w:rsid w:val="0BE81532"/>
    <w:rsid w:val="0BF26A3C"/>
    <w:rsid w:val="0C1C7640"/>
    <w:rsid w:val="0C456873"/>
    <w:rsid w:val="0D0211BD"/>
    <w:rsid w:val="0D1E3FA1"/>
    <w:rsid w:val="0DD9388E"/>
    <w:rsid w:val="0DFD3E14"/>
    <w:rsid w:val="0E2D563A"/>
    <w:rsid w:val="0E5046A5"/>
    <w:rsid w:val="0E55744C"/>
    <w:rsid w:val="0E5B240D"/>
    <w:rsid w:val="0E654E0D"/>
    <w:rsid w:val="0E7204D0"/>
    <w:rsid w:val="0EF02F5B"/>
    <w:rsid w:val="0F2748BE"/>
    <w:rsid w:val="0F2E4FC9"/>
    <w:rsid w:val="0FA03670"/>
    <w:rsid w:val="0FB5497A"/>
    <w:rsid w:val="0FD40909"/>
    <w:rsid w:val="0FD46017"/>
    <w:rsid w:val="0FFB1FCF"/>
    <w:rsid w:val="10196C29"/>
    <w:rsid w:val="10450B72"/>
    <w:rsid w:val="106C3D7A"/>
    <w:rsid w:val="107951D6"/>
    <w:rsid w:val="108219C2"/>
    <w:rsid w:val="10C731A1"/>
    <w:rsid w:val="10DF4410"/>
    <w:rsid w:val="110E2CCA"/>
    <w:rsid w:val="119C05DB"/>
    <w:rsid w:val="12230918"/>
    <w:rsid w:val="12334F4F"/>
    <w:rsid w:val="12440A11"/>
    <w:rsid w:val="125618D3"/>
    <w:rsid w:val="12DE7EB8"/>
    <w:rsid w:val="12E113C5"/>
    <w:rsid w:val="13454832"/>
    <w:rsid w:val="13C82B7E"/>
    <w:rsid w:val="143150C6"/>
    <w:rsid w:val="14B8288B"/>
    <w:rsid w:val="14F568CD"/>
    <w:rsid w:val="15476D81"/>
    <w:rsid w:val="15745E40"/>
    <w:rsid w:val="16412126"/>
    <w:rsid w:val="166D6B2A"/>
    <w:rsid w:val="16A20015"/>
    <w:rsid w:val="16FB51F9"/>
    <w:rsid w:val="17343360"/>
    <w:rsid w:val="176A6D4E"/>
    <w:rsid w:val="17991C03"/>
    <w:rsid w:val="17C866C5"/>
    <w:rsid w:val="17F14637"/>
    <w:rsid w:val="18685763"/>
    <w:rsid w:val="188C43E4"/>
    <w:rsid w:val="188D65FC"/>
    <w:rsid w:val="18BE5DA1"/>
    <w:rsid w:val="18D22BEA"/>
    <w:rsid w:val="194E4A54"/>
    <w:rsid w:val="1A18659F"/>
    <w:rsid w:val="1A2B03CA"/>
    <w:rsid w:val="1A771308"/>
    <w:rsid w:val="1A9B4EDD"/>
    <w:rsid w:val="1B3A694C"/>
    <w:rsid w:val="1BCD761F"/>
    <w:rsid w:val="1C094AA1"/>
    <w:rsid w:val="1C302F4C"/>
    <w:rsid w:val="1C9E3013"/>
    <w:rsid w:val="1CA452D2"/>
    <w:rsid w:val="1CD22F6E"/>
    <w:rsid w:val="1D343375"/>
    <w:rsid w:val="1DAB30E7"/>
    <w:rsid w:val="1DF67D75"/>
    <w:rsid w:val="1E24572A"/>
    <w:rsid w:val="1E361FF7"/>
    <w:rsid w:val="1E5B51CB"/>
    <w:rsid w:val="1EAB01E9"/>
    <w:rsid w:val="1F2F03BB"/>
    <w:rsid w:val="1F514C82"/>
    <w:rsid w:val="1F870BDE"/>
    <w:rsid w:val="1F945AE2"/>
    <w:rsid w:val="1FF13BB0"/>
    <w:rsid w:val="1FF91DAF"/>
    <w:rsid w:val="20754670"/>
    <w:rsid w:val="21E62A1D"/>
    <w:rsid w:val="22BC3473"/>
    <w:rsid w:val="231461AC"/>
    <w:rsid w:val="23290A6B"/>
    <w:rsid w:val="23727D69"/>
    <w:rsid w:val="241A5EE7"/>
    <w:rsid w:val="241D44B3"/>
    <w:rsid w:val="2525434A"/>
    <w:rsid w:val="25D014D1"/>
    <w:rsid w:val="25D50A0B"/>
    <w:rsid w:val="25DA71A5"/>
    <w:rsid w:val="25DC2E34"/>
    <w:rsid w:val="273541B8"/>
    <w:rsid w:val="277126D5"/>
    <w:rsid w:val="27D72F75"/>
    <w:rsid w:val="28C95AE7"/>
    <w:rsid w:val="28E64D20"/>
    <w:rsid w:val="295F5D59"/>
    <w:rsid w:val="29AC369F"/>
    <w:rsid w:val="29FE3F11"/>
    <w:rsid w:val="2A19403D"/>
    <w:rsid w:val="2A30730A"/>
    <w:rsid w:val="2A633B20"/>
    <w:rsid w:val="2A7B337E"/>
    <w:rsid w:val="2A9D1010"/>
    <w:rsid w:val="2AC20A98"/>
    <w:rsid w:val="2C3209F9"/>
    <w:rsid w:val="2C770874"/>
    <w:rsid w:val="2CFF41B5"/>
    <w:rsid w:val="2D2E18F5"/>
    <w:rsid w:val="2D75272B"/>
    <w:rsid w:val="2DD070E2"/>
    <w:rsid w:val="2DD74EB3"/>
    <w:rsid w:val="2E051E75"/>
    <w:rsid w:val="2E4D0213"/>
    <w:rsid w:val="2E907020"/>
    <w:rsid w:val="2E9B5AFD"/>
    <w:rsid w:val="2FD112BF"/>
    <w:rsid w:val="2FE510F0"/>
    <w:rsid w:val="305A3D54"/>
    <w:rsid w:val="30746101"/>
    <w:rsid w:val="309346CB"/>
    <w:rsid w:val="30B96BF2"/>
    <w:rsid w:val="30CB41EB"/>
    <w:rsid w:val="31062113"/>
    <w:rsid w:val="312818C9"/>
    <w:rsid w:val="314263EA"/>
    <w:rsid w:val="322450A5"/>
    <w:rsid w:val="32944EFE"/>
    <w:rsid w:val="33106924"/>
    <w:rsid w:val="334C71FD"/>
    <w:rsid w:val="335511B0"/>
    <w:rsid w:val="33822B9A"/>
    <w:rsid w:val="33B364C6"/>
    <w:rsid w:val="33B36AD1"/>
    <w:rsid w:val="33D44CDF"/>
    <w:rsid w:val="34665F98"/>
    <w:rsid w:val="34743101"/>
    <w:rsid w:val="34CD4C03"/>
    <w:rsid w:val="34DD1682"/>
    <w:rsid w:val="35553395"/>
    <w:rsid w:val="35A51C80"/>
    <w:rsid w:val="35FF6972"/>
    <w:rsid w:val="36AF07DA"/>
    <w:rsid w:val="36B77F10"/>
    <w:rsid w:val="36EC38AB"/>
    <w:rsid w:val="370F5560"/>
    <w:rsid w:val="38502785"/>
    <w:rsid w:val="387434C2"/>
    <w:rsid w:val="39580A6B"/>
    <w:rsid w:val="39C028FA"/>
    <w:rsid w:val="39C86C02"/>
    <w:rsid w:val="39EE1F9C"/>
    <w:rsid w:val="3A9B464B"/>
    <w:rsid w:val="3AF919F1"/>
    <w:rsid w:val="3BD21263"/>
    <w:rsid w:val="3C1D1282"/>
    <w:rsid w:val="3CAC75F0"/>
    <w:rsid w:val="3CD944DE"/>
    <w:rsid w:val="3D6320CE"/>
    <w:rsid w:val="3E701E62"/>
    <w:rsid w:val="3EFD7E0A"/>
    <w:rsid w:val="3F312F83"/>
    <w:rsid w:val="3F3C574F"/>
    <w:rsid w:val="3F9546D2"/>
    <w:rsid w:val="3FDC57DB"/>
    <w:rsid w:val="40525BD7"/>
    <w:rsid w:val="4064142F"/>
    <w:rsid w:val="407610B0"/>
    <w:rsid w:val="40D5352E"/>
    <w:rsid w:val="411309B9"/>
    <w:rsid w:val="4115572E"/>
    <w:rsid w:val="41DB0DC9"/>
    <w:rsid w:val="426B4490"/>
    <w:rsid w:val="42FD75E4"/>
    <w:rsid w:val="43103FFC"/>
    <w:rsid w:val="43AA0A0F"/>
    <w:rsid w:val="43B638A8"/>
    <w:rsid w:val="43D078D9"/>
    <w:rsid w:val="440204EF"/>
    <w:rsid w:val="44491C9F"/>
    <w:rsid w:val="44F42F81"/>
    <w:rsid w:val="44F65B90"/>
    <w:rsid w:val="45964A16"/>
    <w:rsid w:val="45A93577"/>
    <w:rsid w:val="460B6168"/>
    <w:rsid w:val="460C77CD"/>
    <w:rsid w:val="46215845"/>
    <w:rsid w:val="470B69F1"/>
    <w:rsid w:val="471237F4"/>
    <w:rsid w:val="472B3B46"/>
    <w:rsid w:val="47BA508C"/>
    <w:rsid w:val="480C1728"/>
    <w:rsid w:val="48136A5A"/>
    <w:rsid w:val="48283278"/>
    <w:rsid w:val="487D4964"/>
    <w:rsid w:val="48967E44"/>
    <w:rsid w:val="48B92095"/>
    <w:rsid w:val="493F7F99"/>
    <w:rsid w:val="49903029"/>
    <w:rsid w:val="49A30D2B"/>
    <w:rsid w:val="49C060BB"/>
    <w:rsid w:val="49E131D7"/>
    <w:rsid w:val="49EE5BDA"/>
    <w:rsid w:val="4A9B41EB"/>
    <w:rsid w:val="4B1C57C6"/>
    <w:rsid w:val="4B392AE0"/>
    <w:rsid w:val="4B743142"/>
    <w:rsid w:val="4C072D68"/>
    <w:rsid w:val="4C3808F1"/>
    <w:rsid w:val="4C614AD4"/>
    <w:rsid w:val="4C7267DC"/>
    <w:rsid w:val="4C8C67E8"/>
    <w:rsid w:val="4C9F4133"/>
    <w:rsid w:val="4D0C0541"/>
    <w:rsid w:val="4DB917AE"/>
    <w:rsid w:val="4E0A60BA"/>
    <w:rsid w:val="4E413F86"/>
    <w:rsid w:val="4E923C74"/>
    <w:rsid w:val="4EE728B8"/>
    <w:rsid w:val="5065704F"/>
    <w:rsid w:val="50D73F93"/>
    <w:rsid w:val="513959E3"/>
    <w:rsid w:val="516E51BD"/>
    <w:rsid w:val="51B92AB6"/>
    <w:rsid w:val="51C754F9"/>
    <w:rsid w:val="51CD3CB1"/>
    <w:rsid w:val="51F72E6B"/>
    <w:rsid w:val="520523E7"/>
    <w:rsid w:val="52262A2F"/>
    <w:rsid w:val="523B47B4"/>
    <w:rsid w:val="528C3F6E"/>
    <w:rsid w:val="53287D69"/>
    <w:rsid w:val="533734D8"/>
    <w:rsid w:val="53944D1D"/>
    <w:rsid w:val="539B1291"/>
    <w:rsid w:val="53AD76B6"/>
    <w:rsid w:val="53B41C72"/>
    <w:rsid w:val="54B7549E"/>
    <w:rsid w:val="55387B39"/>
    <w:rsid w:val="554D4FBF"/>
    <w:rsid w:val="55792DD4"/>
    <w:rsid w:val="558D3AF9"/>
    <w:rsid w:val="55965BF0"/>
    <w:rsid w:val="55C97C15"/>
    <w:rsid w:val="56613A79"/>
    <w:rsid w:val="57005A6D"/>
    <w:rsid w:val="571730AC"/>
    <w:rsid w:val="577E1149"/>
    <w:rsid w:val="579C2E8E"/>
    <w:rsid w:val="57CA7D0F"/>
    <w:rsid w:val="5806584D"/>
    <w:rsid w:val="587D17D5"/>
    <w:rsid w:val="588B5EAB"/>
    <w:rsid w:val="58915024"/>
    <w:rsid w:val="58CC5982"/>
    <w:rsid w:val="590C14A2"/>
    <w:rsid w:val="59116735"/>
    <w:rsid w:val="593A435B"/>
    <w:rsid w:val="594C0C2F"/>
    <w:rsid w:val="5A6C2BF2"/>
    <w:rsid w:val="5A9540B2"/>
    <w:rsid w:val="5B1B4E84"/>
    <w:rsid w:val="5B524555"/>
    <w:rsid w:val="5BA973EE"/>
    <w:rsid w:val="5C274062"/>
    <w:rsid w:val="5C3F4A86"/>
    <w:rsid w:val="5C7D7BE7"/>
    <w:rsid w:val="5CF00F25"/>
    <w:rsid w:val="5D267E59"/>
    <w:rsid w:val="5D2E4CC6"/>
    <w:rsid w:val="5D3A164A"/>
    <w:rsid w:val="5DEB5C3E"/>
    <w:rsid w:val="5E307504"/>
    <w:rsid w:val="5EA12B9A"/>
    <w:rsid w:val="5ED75032"/>
    <w:rsid w:val="5F814A33"/>
    <w:rsid w:val="60312B28"/>
    <w:rsid w:val="607F45D1"/>
    <w:rsid w:val="6081112F"/>
    <w:rsid w:val="60A86088"/>
    <w:rsid w:val="60B30765"/>
    <w:rsid w:val="617522C3"/>
    <w:rsid w:val="61985A25"/>
    <w:rsid w:val="62CD555C"/>
    <w:rsid w:val="62DE5890"/>
    <w:rsid w:val="63183885"/>
    <w:rsid w:val="63362C99"/>
    <w:rsid w:val="635F3271"/>
    <w:rsid w:val="636964F6"/>
    <w:rsid w:val="640D2A14"/>
    <w:rsid w:val="640F7FDD"/>
    <w:rsid w:val="645F57DF"/>
    <w:rsid w:val="65316AA8"/>
    <w:rsid w:val="65AF120F"/>
    <w:rsid w:val="65CF6A99"/>
    <w:rsid w:val="66420646"/>
    <w:rsid w:val="66643589"/>
    <w:rsid w:val="669011EB"/>
    <w:rsid w:val="675419DC"/>
    <w:rsid w:val="6776476B"/>
    <w:rsid w:val="67BB3C94"/>
    <w:rsid w:val="67C81214"/>
    <w:rsid w:val="693164A2"/>
    <w:rsid w:val="693951EA"/>
    <w:rsid w:val="69450752"/>
    <w:rsid w:val="694F2F68"/>
    <w:rsid w:val="697E643A"/>
    <w:rsid w:val="69861143"/>
    <w:rsid w:val="69EE1762"/>
    <w:rsid w:val="69F7015F"/>
    <w:rsid w:val="69F714CB"/>
    <w:rsid w:val="6B4954E7"/>
    <w:rsid w:val="6C5622B6"/>
    <w:rsid w:val="6C92442F"/>
    <w:rsid w:val="6D69457C"/>
    <w:rsid w:val="6D9D4935"/>
    <w:rsid w:val="6DCD03AA"/>
    <w:rsid w:val="6E6877BF"/>
    <w:rsid w:val="6F2177E7"/>
    <w:rsid w:val="6F384391"/>
    <w:rsid w:val="6F78467B"/>
    <w:rsid w:val="70126089"/>
    <w:rsid w:val="70964F89"/>
    <w:rsid w:val="70A0757A"/>
    <w:rsid w:val="70B95DE1"/>
    <w:rsid w:val="714B4FF4"/>
    <w:rsid w:val="71AD7E82"/>
    <w:rsid w:val="721B7C4A"/>
    <w:rsid w:val="732C5EC4"/>
    <w:rsid w:val="73E5423B"/>
    <w:rsid w:val="73ED2CF6"/>
    <w:rsid w:val="742D4BCD"/>
    <w:rsid w:val="74985060"/>
    <w:rsid w:val="74FC19CE"/>
    <w:rsid w:val="75B96382"/>
    <w:rsid w:val="75E8184B"/>
    <w:rsid w:val="76316350"/>
    <w:rsid w:val="7659095C"/>
    <w:rsid w:val="76635FE5"/>
    <w:rsid w:val="76EB07E4"/>
    <w:rsid w:val="7730063A"/>
    <w:rsid w:val="77603E7E"/>
    <w:rsid w:val="77ED5CE2"/>
    <w:rsid w:val="781F0939"/>
    <w:rsid w:val="786F79A5"/>
    <w:rsid w:val="787A09AC"/>
    <w:rsid w:val="7AB26C31"/>
    <w:rsid w:val="7B4F72D2"/>
    <w:rsid w:val="7B58503B"/>
    <w:rsid w:val="7C792048"/>
    <w:rsid w:val="7C7F71FF"/>
    <w:rsid w:val="7C9776BE"/>
    <w:rsid w:val="7C983E16"/>
    <w:rsid w:val="7CAF1D62"/>
    <w:rsid w:val="7CC46E61"/>
    <w:rsid w:val="7D32729A"/>
    <w:rsid w:val="7D411C00"/>
    <w:rsid w:val="7D5C11C5"/>
    <w:rsid w:val="7E5A30B6"/>
    <w:rsid w:val="7E6106A3"/>
    <w:rsid w:val="7EF86B4D"/>
    <w:rsid w:val="7F130166"/>
    <w:rsid w:val="7F2B515C"/>
    <w:rsid w:val="7F4135AE"/>
    <w:rsid w:val="7F8B79D4"/>
    <w:rsid w:val="7FC86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hint="eastAsia"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1130</Words>
  <Characters>6441</Characters>
  <Lines>53</Lines>
  <Paragraphs>15</Paragraphs>
  <TotalTime>1</TotalTime>
  <ScaleCrop>false</ScaleCrop>
  <LinksUpToDate>false</LinksUpToDate>
  <CharactersWithSpaces>7556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2020-07-12T16:15:14Z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