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附录A</w:t>
      </w:r>
      <w:r>
        <w:rPr>
          <w:rFonts w:hint="eastAsia"/>
          <w:b/>
          <w:bCs/>
          <w:sz w:val="28"/>
          <w:szCs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bookmarkStart w:id="0" w:name="_GoBack"/>
      <w:bookmarkEnd w:id="0"/>
    </w:p>
    <w:p>
      <w:pPr>
        <w:pStyle w:val="3"/>
        <w:spacing w:line="240" w:lineRule="auto"/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防喷器压力检测过程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32"/>
        </w:rPr>
        <w:t>不确定评定报告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SY/T6160-2014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 xml:space="preserve">《防喷器检查和维修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压力传感器</w:t>
      </w:r>
      <w:r>
        <w:rPr>
          <w:rFonts w:hint="default" w:ascii="Times New Roman" w:hAnsi="Times New Roman" w:eastAsia="宋体" w:cs="Times New Roman"/>
          <w:sz w:val="24"/>
          <w:szCs w:val="24"/>
        </w:rPr>
        <w:t>（0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-100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MPE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V: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2%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cs="Times New Roman"/>
          <w:sz w:val="24"/>
          <w:szCs w:val="24"/>
          <w:lang w:val="en-US" w:eastAsia="zh-CN"/>
        </w:rPr>
        <w:t>4.8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-35.</w:t>
      </w: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20" w:hanging="720" w:hangingChars="300"/>
        <w:textAlignment w:val="auto"/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开机，打开测试软件，压力置零，连接防喷器，防喷器灌满水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20" w:hanging="720" w:hangingChars="300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后，关闭闸板，再开泵排出空气；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检查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压力传感器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，表面应干净，应具有有效合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20" w:hanging="720" w:hangingChars="300"/>
        <w:textAlignment w:val="auto"/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格标识，外观良好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开泵进入检测模式，人员撤离</w:t>
      </w:r>
      <w:r>
        <w:rPr>
          <w:rFonts w:hint="eastAsia" w:eastAsia="宋体" w:cs="Times New Roman"/>
          <w:bCs/>
          <w:sz w:val="24"/>
          <w:szCs w:val="24"/>
          <w:lang w:val="en-US" w:eastAsia="zh-CN"/>
        </w:rPr>
        <w:t>到监控室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，按下测试键开始检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720" w:hanging="720" w:hangingChars="300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测，待检测完毕，记录压力数据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Chars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pStyle w:val="3"/>
        <w:spacing w:line="240" w:lineRule="auto"/>
        <w:ind w:firstLine="1440" w:firstLineChars="6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防喷器压力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检测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</w:rPr>
        <w:t>结果</w:t>
      </w:r>
    </w:p>
    <w:p>
      <w:pPr>
        <w:pStyle w:val="3"/>
        <w:spacing w:line="240" w:lineRule="auto"/>
        <w:ind w:firstLine="2160" w:firstLineChars="9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防喷器压力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读数</w:t>
      </w:r>
      <w:r>
        <w:rPr>
          <w:rFonts w:hint="default" w:ascii="Times New Roman" w:hAnsi="Times New Roman" w:eastAsia="宋体" w:cs="Times New Roman"/>
          <w:sz w:val="24"/>
          <w:szCs w:val="24"/>
        </w:rPr>
        <w:t>值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：测量重复性引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5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6" o:spt="75" type="#_x0000_t75" style="height:16.7pt;width:12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7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输入量测量重复性不确定度的来源主要是测量重复性引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做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压力传感器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正常工作状态下，同一组人，用同一台设备，在相临近的时间内，对被</w:t>
      </w:r>
      <w:r>
        <w:rPr>
          <w:rFonts w:hint="eastAsia" w:cs="Times New Roman"/>
          <w:sz w:val="24"/>
          <w:szCs w:val="24"/>
          <w:lang w:val="en-US" w:eastAsia="zh-CN"/>
        </w:rPr>
        <w:t>检测的防喷器压力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次，得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个测量数据汇于表1：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3600" w:firstLineChars="15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1:</w:t>
      </w:r>
      <w:r>
        <w:rPr>
          <w:rFonts w:hint="default" w:ascii="Times New Roman" w:hAnsi="Times New Roman" w:eastAsia="宋体" w:cs="Times New Roman"/>
          <w:sz w:val="24"/>
          <w:szCs w:val="24"/>
        </w:rPr>
        <w:t>重复性数据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11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52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103" w:leftChars="49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L(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35.05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35.05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35.05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35.07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35.07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用极差法评定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单个测量值的实验标准差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8" o:spt="75" type="#_x0000_t75" style="height:31pt;width:196.9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9" o:spt="75" type="#_x0000_t75" style="height:17pt;width:12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0" o:spt="75" type="#_x0000_t75" style="height:17pt;width:12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1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31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32" o:spt="75" type="#_x0000_t75" style="height:33pt;width:160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kern w:val="0"/>
          <w:position w:val="-10"/>
          <w:sz w:val="24"/>
          <w:szCs w:val="24"/>
        </w:rPr>
        <w:object>
          <v:shape id="_x0000_i1033" o:spt="75" type="#_x0000_t75" style="height:16.75pt;width:12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</w:p>
    <w:p>
      <w:pPr>
        <w:ind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压力传感器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</w:rPr>
        <w:t>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MPE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V: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2%,</w:t>
      </w:r>
      <w:r>
        <w:rPr>
          <w:rFonts w:hint="default" w:ascii="Times New Roman" w:hAnsi="Times New Roman" w:eastAsia="宋体" w:cs="Times New Roman"/>
          <w:sz w:val="24"/>
          <w:szCs w:val="24"/>
        </w:rPr>
        <w:t>服从均匀分布，取α=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deg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e>
        </m:rad>
      </m:oMath>
      <w:r>
        <w:rPr>
          <w:rFonts w:hint="default" w:ascii="Times New Roman" w:hAnsi="Times New Roman" w:eastAsia="宋体" w:cs="Times New Roman"/>
          <w:sz w:val="24"/>
          <w:szCs w:val="24"/>
        </w:rPr>
        <w:t>，则由设备示值误差引入的不确定分量为：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142" w:firstLine="2980" w:firstLineChars="1242"/>
        <w:textAlignment w:val="auto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position w:val="-28"/>
          <w:sz w:val="24"/>
          <w:szCs w:val="24"/>
        </w:rPr>
        <w:object>
          <v:shape id="_x0000_i1034" o:spt="75" alt="" type="#_x0000_t75" style="height:32.95pt;width:168.9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测量重复性所引入的不确定度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61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5" o:spt="75" type="#_x0000_t75" style="height:22.8pt;width:234.7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6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2,置信概率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780" w:firstLine="780" w:firstLineChars="325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＝2×0.0</w:t>
      </w:r>
      <w:r>
        <w:rPr>
          <w:rFonts w:hint="eastAsia" w:cs="Times New Roman"/>
          <w:sz w:val="24"/>
          <w:szCs w:val="24"/>
          <w:lang w:val="en-US" w:eastAsia="zh-CN"/>
        </w:rPr>
        <w:t>42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>＝0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.0</w:t>
      </w:r>
      <w:r>
        <w:rPr>
          <w:rFonts w:hint="eastAsia" w:cs="Times New Roman"/>
          <w:sz w:val="24"/>
          <w:szCs w:val="24"/>
          <w:lang w:val="en-US" w:eastAsia="zh-CN"/>
        </w:rPr>
        <w:t>84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780" w:firstLine="919" w:firstLineChars="383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84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MPa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7162"/>
    <w:rsid w:val="001E3A13"/>
    <w:rsid w:val="00227CDF"/>
    <w:rsid w:val="00553067"/>
    <w:rsid w:val="00592E16"/>
    <w:rsid w:val="006E25D7"/>
    <w:rsid w:val="00732A29"/>
    <w:rsid w:val="007A44C6"/>
    <w:rsid w:val="00A92CEC"/>
    <w:rsid w:val="00AB15B9"/>
    <w:rsid w:val="00B23EC5"/>
    <w:rsid w:val="00B72BDD"/>
    <w:rsid w:val="00D60E80"/>
    <w:rsid w:val="00E043D6"/>
    <w:rsid w:val="00F55B64"/>
    <w:rsid w:val="00F90B91"/>
    <w:rsid w:val="015416E6"/>
    <w:rsid w:val="01E43D31"/>
    <w:rsid w:val="024025BA"/>
    <w:rsid w:val="02D10F61"/>
    <w:rsid w:val="03075687"/>
    <w:rsid w:val="033C61BB"/>
    <w:rsid w:val="033C6CE8"/>
    <w:rsid w:val="03F5299C"/>
    <w:rsid w:val="0529508E"/>
    <w:rsid w:val="06354F1C"/>
    <w:rsid w:val="0684477D"/>
    <w:rsid w:val="074914CA"/>
    <w:rsid w:val="07813E62"/>
    <w:rsid w:val="07A54DAE"/>
    <w:rsid w:val="082852F7"/>
    <w:rsid w:val="0A9A5E74"/>
    <w:rsid w:val="0AF125E1"/>
    <w:rsid w:val="0B0B039F"/>
    <w:rsid w:val="0C8C375E"/>
    <w:rsid w:val="0E2137A4"/>
    <w:rsid w:val="0E570075"/>
    <w:rsid w:val="0F334CE9"/>
    <w:rsid w:val="0F492F44"/>
    <w:rsid w:val="0F89424F"/>
    <w:rsid w:val="107F6672"/>
    <w:rsid w:val="10C76CC6"/>
    <w:rsid w:val="11062BEE"/>
    <w:rsid w:val="114B0031"/>
    <w:rsid w:val="12636A19"/>
    <w:rsid w:val="132F00D6"/>
    <w:rsid w:val="13794216"/>
    <w:rsid w:val="139C6110"/>
    <w:rsid w:val="13AD63AE"/>
    <w:rsid w:val="13CB519A"/>
    <w:rsid w:val="150669D4"/>
    <w:rsid w:val="15577EC7"/>
    <w:rsid w:val="159C1D1A"/>
    <w:rsid w:val="1651438D"/>
    <w:rsid w:val="16895B57"/>
    <w:rsid w:val="179C6515"/>
    <w:rsid w:val="183E7280"/>
    <w:rsid w:val="18757966"/>
    <w:rsid w:val="18B23F30"/>
    <w:rsid w:val="1A2A38DE"/>
    <w:rsid w:val="1AE95F4D"/>
    <w:rsid w:val="1AF92720"/>
    <w:rsid w:val="1AFC0AA7"/>
    <w:rsid w:val="1B2A74E6"/>
    <w:rsid w:val="1BE83ECF"/>
    <w:rsid w:val="1D5D7C6E"/>
    <w:rsid w:val="1D99516E"/>
    <w:rsid w:val="1DE85FFF"/>
    <w:rsid w:val="20380E11"/>
    <w:rsid w:val="20787783"/>
    <w:rsid w:val="21BA3713"/>
    <w:rsid w:val="21EB21B9"/>
    <w:rsid w:val="22242A16"/>
    <w:rsid w:val="223F6863"/>
    <w:rsid w:val="2257687F"/>
    <w:rsid w:val="22D65382"/>
    <w:rsid w:val="22DD7592"/>
    <w:rsid w:val="23A5138B"/>
    <w:rsid w:val="24836E05"/>
    <w:rsid w:val="24A97D6A"/>
    <w:rsid w:val="254D786C"/>
    <w:rsid w:val="26520B85"/>
    <w:rsid w:val="266F2FDB"/>
    <w:rsid w:val="2710167F"/>
    <w:rsid w:val="2720587C"/>
    <w:rsid w:val="27DD05D8"/>
    <w:rsid w:val="27DF7713"/>
    <w:rsid w:val="295E52F6"/>
    <w:rsid w:val="29702973"/>
    <w:rsid w:val="2A2A582A"/>
    <w:rsid w:val="2A9F7E91"/>
    <w:rsid w:val="2C1B093A"/>
    <w:rsid w:val="2C7B55AE"/>
    <w:rsid w:val="2CA95F12"/>
    <w:rsid w:val="2CFE7B58"/>
    <w:rsid w:val="2DBB4F6C"/>
    <w:rsid w:val="2DBD3E4F"/>
    <w:rsid w:val="2E5E35F6"/>
    <w:rsid w:val="2EC93DDC"/>
    <w:rsid w:val="2EDF670F"/>
    <w:rsid w:val="2F001AC3"/>
    <w:rsid w:val="2F1E200F"/>
    <w:rsid w:val="2F306C78"/>
    <w:rsid w:val="2F985D32"/>
    <w:rsid w:val="2FA50E6E"/>
    <w:rsid w:val="30697684"/>
    <w:rsid w:val="30B30311"/>
    <w:rsid w:val="329B5D42"/>
    <w:rsid w:val="32C755ED"/>
    <w:rsid w:val="34343C2F"/>
    <w:rsid w:val="34785C61"/>
    <w:rsid w:val="349B3CDF"/>
    <w:rsid w:val="34AD43B8"/>
    <w:rsid w:val="35CD24B3"/>
    <w:rsid w:val="36184782"/>
    <w:rsid w:val="362A2DEB"/>
    <w:rsid w:val="37682CFB"/>
    <w:rsid w:val="37A94C31"/>
    <w:rsid w:val="380B5B88"/>
    <w:rsid w:val="39991A6E"/>
    <w:rsid w:val="3A163D1F"/>
    <w:rsid w:val="3A1D0244"/>
    <w:rsid w:val="3AA94754"/>
    <w:rsid w:val="3DA52452"/>
    <w:rsid w:val="3E782D86"/>
    <w:rsid w:val="3E914909"/>
    <w:rsid w:val="3EF73C9A"/>
    <w:rsid w:val="3EFE5EE2"/>
    <w:rsid w:val="3F6318E7"/>
    <w:rsid w:val="407A0847"/>
    <w:rsid w:val="409F2474"/>
    <w:rsid w:val="41D24F23"/>
    <w:rsid w:val="41E35D9C"/>
    <w:rsid w:val="42904D9A"/>
    <w:rsid w:val="42D51AAC"/>
    <w:rsid w:val="43666874"/>
    <w:rsid w:val="43B525C0"/>
    <w:rsid w:val="43EB5300"/>
    <w:rsid w:val="43EB609A"/>
    <w:rsid w:val="444F34BE"/>
    <w:rsid w:val="452D6531"/>
    <w:rsid w:val="45B643FF"/>
    <w:rsid w:val="45FE3658"/>
    <w:rsid w:val="462C7D91"/>
    <w:rsid w:val="46915ADF"/>
    <w:rsid w:val="47A07B51"/>
    <w:rsid w:val="47D62180"/>
    <w:rsid w:val="47FA49F3"/>
    <w:rsid w:val="487954CE"/>
    <w:rsid w:val="492E08A0"/>
    <w:rsid w:val="493C18BB"/>
    <w:rsid w:val="49680B69"/>
    <w:rsid w:val="4AD918C9"/>
    <w:rsid w:val="4B466D02"/>
    <w:rsid w:val="4C5067A9"/>
    <w:rsid w:val="4CD37E96"/>
    <w:rsid w:val="4DB2248A"/>
    <w:rsid w:val="4E310665"/>
    <w:rsid w:val="4E416634"/>
    <w:rsid w:val="4FDA309F"/>
    <w:rsid w:val="504F5371"/>
    <w:rsid w:val="50730AE5"/>
    <w:rsid w:val="50A07371"/>
    <w:rsid w:val="51B926F9"/>
    <w:rsid w:val="51D71733"/>
    <w:rsid w:val="520B3430"/>
    <w:rsid w:val="526747A8"/>
    <w:rsid w:val="528447F7"/>
    <w:rsid w:val="53BC0C9F"/>
    <w:rsid w:val="54C603E3"/>
    <w:rsid w:val="552B733D"/>
    <w:rsid w:val="55803F4D"/>
    <w:rsid w:val="558744B5"/>
    <w:rsid w:val="55985E5F"/>
    <w:rsid w:val="55B27004"/>
    <w:rsid w:val="55E02218"/>
    <w:rsid w:val="56C86374"/>
    <w:rsid w:val="57022007"/>
    <w:rsid w:val="57CC2099"/>
    <w:rsid w:val="57EE0F5D"/>
    <w:rsid w:val="58A13279"/>
    <w:rsid w:val="58C70B1F"/>
    <w:rsid w:val="58F90F65"/>
    <w:rsid w:val="59E404A7"/>
    <w:rsid w:val="5AC6231F"/>
    <w:rsid w:val="5B12033D"/>
    <w:rsid w:val="5B474822"/>
    <w:rsid w:val="5C096AEE"/>
    <w:rsid w:val="5CFC6645"/>
    <w:rsid w:val="5D5F2C23"/>
    <w:rsid w:val="5EAF7D71"/>
    <w:rsid w:val="5EFD54A6"/>
    <w:rsid w:val="6001421E"/>
    <w:rsid w:val="605F0B66"/>
    <w:rsid w:val="608B4C0D"/>
    <w:rsid w:val="60C173E7"/>
    <w:rsid w:val="61513181"/>
    <w:rsid w:val="619B1BCE"/>
    <w:rsid w:val="62484C76"/>
    <w:rsid w:val="6292162C"/>
    <w:rsid w:val="64701F3E"/>
    <w:rsid w:val="65A11B1C"/>
    <w:rsid w:val="66345990"/>
    <w:rsid w:val="68255B3B"/>
    <w:rsid w:val="683B1F8B"/>
    <w:rsid w:val="695F0B69"/>
    <w:rsid w:val="6A071061"/>
    <w:rsid w:val="6A2F29AB"/>
    <w:rsid w:val="6A370221"/>
    <w:rsid w:val="6A7D3D26"/>
    <w:rsid w:val="6B7A2070"/>
    <w:rsid w:val="6BDE262E"/>
    <w:rsid w:val="6C347AA5"/>
    <w:rsid w:val="6CF710FC"/>
    <w:rsid w:val="6E9F7006"/>
    <w:rsid w:val="6EC916CC"/>
    <w:rsid w:val="6EE7134B"/>
    <w:rsid w:val="6F7F7358"/>
    <w:rsid w:val="6FE36DE5"/>
    <w:rsid w:val="6FFC36C6"/>
    <w:rsid w:val="703F78C8"/>
    <w:rsid w:val="70BE60D8"/>
    <w:rsid w:val="70F02CA1"/>
    <w:rsid w:val="711F53B4"/>
    <w:rsid w:val="72680FAA"/>
    <w:rsid w:val="72D04BE5"/>
    <w:rsid w:val="72D84B70"/>
    <w:rsid w:val="72EF5E54"/>
    <w:rsid w:val="73160F66"/>
    <w:rsid w:val="73361172"/>
    <w:rsid w:val="745D0E1C"/>
    <w:rsid w:val="74E348BF"/>
    <w:rsid w:val="75925870"/>
    <w:rsid w:val="78201402"/>
    <w:rsid w:val="78932B85"/>
    <w:rsid w:val="78EB596B"/>
    <w:rsid w:val="79C20835"/>
    <w:rsid w:val="7A347A80"/>
    <w:rsid w:val="7A3757D9"/>
    <w:rsid w:val="7B6C3AFC"/>
    <w:rsid w:val="7BEE7A8A"/>
    <w:rsid w:val="7C3E2CBC"/>
    <w:rsid w:val="7CD935B2"/>
    <w:rsid w:val="7F7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1150</Characters>
  <Lines>9</Lines>
  <Paragraphs>2</Paragraphs>
  <TotalTime>1</TotalTime>
  <ScaleCrop>false</ScaleCrop>
  <LinksUpToDate>false</LinksUpToDate>
  <CharactersWithSpaces>1349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2020-06-21T07:10:22Z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