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原材料入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库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称重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过程</w:t>
      </w:r>
      <w:r>
        <w:rPr>
          <w:rFonts w:hAnsi="宋体"/>
          <w:b/>
          <w:sz w:val="32"/>
          <w:szCs w:val="32"/>
        </w:rPr>
        <w:t>不确定度的评定</w:t>
      </w:r>
      <w:r>
        <w:rPr>
          <w:rFonts w:hint="eastAsia" w:hAnsi="宋体"/>
          <w:b/>
          <w:sz w:val="32"/>
          <w:szCs w:val="32"/>
          <w:lang w:val="en-US" w:eastAsia="zh-CN"/>
        </w:rPr>
        <w:t>报告</w:t>
      </w: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1. 概述</w:t>
      </w:r>
    </w:p>
    <w:p>
      <w:pPr>
        <w:spacing w:line="400" w:lineRule="exac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1.1 测量方法：依据</w:t>
      </w:r>
      <w:r>
        <w:rPr>
          <w:rFonts w:hint="eastAsia"/>
          <w:color w:val="auto"/>
          <w:lang w:val="en-US" w:eastAsia="zh-CN"/>
        </w:rPr>
        <w:t>JJG539-2016《数字称检定规程》；</w:t>
      </w:r>
    </w:p>
    <w:p>
      <w:pPr>
        <w:spacing w:line="4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1.2 环境条件：</w:t>
      </w:r>
      <w:r>
        <w:rPr>
          <w:rFonts w:hint="eastAsia" w:cs="Times New Roman"/>
          <w:sz w:val="21"/>
          <w:szCs w:val="21"/>
          <w:lang w:val="en-US" w:eastAsia="zh-CN"/>
        </w:rPr>
        <w:t>常温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； </w:t>
      </w:r>
    </w:p>
    <w:p>
      <w:pPr>
        <w:spacing w:line="4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1.3 测量标准：SCS-1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0电子汽车衡，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准确度等级为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instrText xml:space="preserve"> eq \o\ac(</w:instrText>
      </w:r>
      <w:r>
        <w:rPr>
          <w:rFonts w:hint="default" w:ascii="Times New Roman" w:hAnsi="Times New Roman" w:eastAsia="宋体" w:cs="Times New Roman"/>
          <w:color w:val="auto"/>
          <w:kern w:val="0"/>
          <w:position w:val="-4"/>
          <w:sz w:val="31"/>
          <w:szCs w:val="21"/>
        </w:rPr>
        <w:instrText xml:space="preserve">○</w:instrText>
      </w:r>
      <w:r>
        <w:rPr>
          <w:rFonts w:hint="default" w:ascii="Times New Roman" w:hAnsi="Times New Roman" w:eastAsia="宋体" w:cs="Times New Roman"/>
          <w:color w:val="auto"/>
          <w:kern w:val="0"/>
          <w:position w:val="0"/>
          <w:sz w:val="21"/>
          <w:szCs w:val="21"/>
        </w:rPr>
        <w:instrText xml:space="preserve">,Ⅲ)</w:instrTex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级，</w:t>
      </w:r>
      <w:r>
        <w:rPr>
          <w:rFonts w:hint="default" w:ascii="Times New Roman" w:hAnsi="Times New Roman" w:eastAsia="宋体" w:cs="Times New Roman"/>
          <w:sz w:val="21"/>
          <w:szCs w:val="21"/>
        </w:rPr>
        <w:t>分度值为20kg,最大称量（Max）:1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0t, 最小称量（Min）：400kg； </w:t>
      </w:r>
    </w:p>
    <w:p>
      <w:pPr>
        <w:spacing w:line="4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1.4 被测对象：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原材料入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库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称重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t～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t）</w:t>
      </w:r>
      <w:r>
        <w:rPr>
          <w:rFonts w:hint="default" w:ascii="Times New Roman" w:hAnsi="Times New Roman" w:eastAsia="宋体" w:cs="Times New Roman"/>
          <w:sz w:val="21"/>
          <w:szCs w:val="21"/>
        </w:rPr>
        <w:t>称量时，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允许偏差</w:t>
      </w:r>
      <w:r>
        <w:rPr>
          <w:rFonts w:hint="default" w:ascii="Times New Roman" w:hAnsi="Times New Roman" w:eastAsia="宋体" w:cs="Times New Roman"/>
          <w:sz w:val="21"/>
          <w:szCs w:val="21"/>
        </w:rPr>
        <w:t>±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0.3%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spacing w:line="4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1.5 测量过程：</w:t>
      </w:r>
      <w:r>
        <w:rPr>
          <w:rFonts w:hint="eastAsia" w:cs="Times New Roman"/>
          <w:sz w:val="21"/>
          <w:szCs w:val="21"/>
          <w:lang w:val="en-US" w:eastAsia="zh-CN"/>
        </w:rPr>
        <w:t>开机</w:t>
      </w:r>
      <w:r>
        <w:rPr>
          <w:rFonts w:hint="default" w:ascii="Times New Roman" w:hAnsi="Times New Roman" w:eastAsia="宋体" w:cs="Times New Roman"/>
          <w:sz w:val="21"/>
          <w:szCs w:val="21"/>
        </w:rPr>
        <w:t>，检查程序运行情况是否正常，检查数字显示器是否正常，等一切程序运行正常后，通知车辆上磅称重，记录其毛重及皮重换算净重作为测量结果，并与供货方出具的检测结果进行比较。</w:t>
      </w:r>
    </w:p>
    <w:p>
      <w:pPr>
        <w:spacing w:line="400" w:lineRule="exact"/>
        <w:rPr>
          <w:rFonts w:hint="default" w:ascii="Times New Roman" w:hAnsi="Times New Roman" w:eastAsia="宋体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8"/>
          <w:sz w:val="21"/>
          <w:szCs w:val="21"/>
        </w:rPr>
        <w:t>1.6 评定结果</w:t>
      </w:r>
    </w:p>
    <w:p>
      <w:pPr>
        <w:spacing w:line="400" w:lineRule="exact"/>
        <w:ind w:firstLine="452" w:firstLineChars="200"/>
        <w:rPr>
          <w:rFonts w:hint="default" w:ascii="Times New Roman" w:hAnsi="Times New Roman" w:eastAsia="宋体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8"/>
          <w:sz w:val="21"/>
          <w:szCs w:val="21"/>
        </w:rPr>
        <w:t>在符合上述条件下的测量结果，一般可直接使用本不确定度的评定结果。</w:t>
      </w:r>
    </w:p>
    <w:p>
      <w:pPr>
        <w:spacing w:line="4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2. 数学模型</w:t>
      </w:r>
    </w:p>
    <w:p>
      <w:pPr>
        <w:spacing w:line="400" w:lineRule="exact"/>
        <w:ind w:firstLine="991" w:firstLineChars="472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Y 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25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-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26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</w:p>
    <w:p>
      <w:pPr>
        <w:spacing w:line="400" w:lineRule="exact"/>
        <w:ind w:firstLine="424" w:firstLineChars="202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式中：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Y </w:t>
      </w:r>
      <w:r>
        <w:rPr>
          <w:rFonts w:hint="default" w:ascii="Times New Roman" w:hAnsi="Times New Roman" w:eastAsia="宋体" w:cs="Times New Roman"/>
          <w:sz w:val="21"/>
          <w:szCs w:val="21"/>
        </w:rPr>
        <w:t>——称重的测量结果。</w:t>
      </w:r>
    </w:p>
    <w:p>
      <w:pPr>
        <w:spacing w:line="400" w:lineRule="exact"/>
        <w:ind w:firstLine="991" w:firstLineChars="472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——毛重时电子汽车衡数字显示器的示值</w:t>
      </w:r>
    </w:p>
    <w:p>
      <w:pPr>
        <w:spacing w:line="400" w:lineRule="exact"/>
        <w:ind w:firstLine="991" w:firstLineChars="472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28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——皮重时电子汽车衡数字显示器的示值；</w:t>
      </w:r>
    </w:p>
    <w:p>
      <w:pPr>
        <w:spacing w:line="400" w:lineRule="exact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3. 输入量的标准不确定度评定</w:t>
      </w:r>
    </w:p>
    <w:p>
      <w:pPr>
        <w:spacing w:line="4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3.1 输入量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29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的标准不确定度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0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的评定</w:t>
      </w:r>
    </w:p>
    <w:p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31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标准不确定度的影响分量来源主要有： </w:t>
      </w:r>
    </w:p>
    <w:p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a) 测量重复性引入的标准不确定度分量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2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b) 测量设备最大允许误差引入的标准不确定度分量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3" o:spt="75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c) 测量设备分度值引入的标准不确定度分量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34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</w:p>
    <w:p>
      <w:pPr>
        <w:spacing w:line="40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3.1.1测量重复性引入的标准不确定度分量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5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的评定</w:t>
      </w:r>
    </w:p>
    <w:p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根据日常经验，对同一批货物的测量重复性通常不大于该秤量的最小分度即20kg。</w:t>
      </w:r>
    </w:p>
    <w:p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取其为均匀分布，半宽为10kg，则测量重复性引入的标准不确定度分量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6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7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position w:val="-28"/>
          <w:sz w:val="21"/>
          <w:szCs w:val="21"/>
        </w:rPr>
        <w:object>
          <v:shape id="_x0000_i1038" o:spt="75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＝5.77kg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3.1.2电子汽车衡示值误差引入的标准不确定度分量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9" o:spt="75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的评定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根据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林州市综合检验检测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中心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出具的检定证书，在称量为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00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kg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＜m≤1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0000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kg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时，其示值误差最大不超过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75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kg，取其为均匀分布，则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040" o:spt="75" type="#_x0000_t75" style="height:17.25pt;width:32.8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auto"/>
          <w:position w:val="-28"/>
          <w:sz w:val="21"/>
          <w:szCs w:val="21"/>
        </w:rPr>
        <w:object>
          <v:shape id="_x0000_i1041" o:spt="75" type="#_x0000_t75" style="height:33pt;width:6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3.1.3电子汽车衡分辨力引入的标准不确定度分量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4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的评定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该汽车衡的分度值为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43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=20kg，采用“闪变点”法其数字示值的实际分辨力 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44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=0.1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=2kg，则其分布区间半宽应为1kg，取其为均匀分布，则有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45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position w:val="-28"/>
          <w:sz w:val="21"/>
          <w:szCs w:val="21"/>
        </w:rPr>
        <w:object>
          <v:shape id="_x0000_i1046" o:spt="75" type="#_x0000_t75" style="height:33pt;width:29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0.577kg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4. 合成标准不确定度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4.1 标准不确定度汇总</w:t>
      </w:r>
    </w:p>
    <w:tbl>
      <w:tblPr>
        <w:tblStyle w:val="5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3345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47" o:spt="75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7">
                  <o:LockedField>false</o:LockedField>
                </o:OLEObject>
              </w:object>
            </w:r>
          </w:p>
        </w:tc>
        <w:tc>
          <w:tcPr>
            <w:tcW w:w="33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不确定度来源</w:t>
            </w:r>
          </w:p>
        </w:tc>
        <w:tc>
          <w:tcPr>
            <w:tcW w:w="36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48" o:spt="75" type="#_x0000_t75" style="height:17.25pt;width:30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49">
                  <o:LockedField>false</o:LockedField>
                </o:OLEObject>
              </w:object>
            </w:r>
          </w:p>
        </w:tc>
        <w:tc>
          <w:tcPr>
            <w:tcW w:w="33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测量重复性</w:t>
            </w:r>
          </w:p>
        </w:tc>
        <w:tc>
          <w:tcPr>
            <w:tcW w:w="36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49" o:spt="75" type="#_x0000_t75" style="height:17.25pt;width:30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50">
                  <o:LockedField>false</o:LockedField>
                </o:OLEObject>
              </w:objec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示值误差引入的标准不确定度</w:t>
            </w:r>
          </w:p>
        </w:tc>
        <w:tc>
          <w:tcPr>
            <w:tcW w:w="36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50" o:spt="75" type="#_x0000_t75" style="height:18pt;width:31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51">
                  <o:LockedField>false</o:LockedField>
                </o:OLEObject>
              </w:objec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分辨力引入的标准不确定度</w:t>
            </w:r>
          </w:p>
        </w:tc>
        <w:tc>
          <w:tcPr>
            <w:tcW w:w="36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0.577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4.2合成标准不确定度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51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position w:val="-16"/>
          <w:sz w:val="21"/>
          <w:szCs w:val="21"/>
        </w:rPr>
        <w:object>
          <v:shape id="_x0000_i1052" o:spt="75" type="#_x0000_t75" style="height:26pt;width:108.4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43.</w:t>
      </w:r>
      <w:r>
        <w:rPr>
          <w:rFonts w:hint="eastAsia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kg</w:t>
      </w:r>
      <w:r>
        <w:rPr>
          <w:rFonts w:hint="eastAsia" w:cs="Times New Roman"/>
          <w:sz w:val="21"/>
          <w:szCs w:val="21"/>
          <w:lang w:val="en-US" w:eastAsia="zh-CN"/>
        </w:rPr>
        <w:t>=0.0437t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5. 扩展不确定度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取</w:t>
      </w:r>
      <w:r>
        <w:rPr>
          <w:rFonts w:hint="default"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5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＝2，</w:t>
      </w:r>
      <w:r>
        <w:rPr>
          <w:rFonts w:hint="default"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5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5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×</w:t>
      </w:r>
      <w:r>
        <w:rPr>
          <w:rFonts w:hint="default" w:ascii="Times New Roman" w:hAnsi="Times New Roman" w:eastAsia="宋体" w:cs="Times New Roman"/>
          <w:color w:val="auto"/>
          <w:position w:val="-12"/>
          <w:sz w:val="21"/>
          <w:szCs w:val="21"/>
        </w:rPr>
        <w:object>
          <v:shape id="_x0000_i1056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=2×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43.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kg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=0.0874t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1F"/>
    <w:rsid w:val="0009719E"/>
    <w:rsid w:val="000E539F"/>
    <w:rsid w:val="000F4447"/>
    <w:rsid w:val="00125E6C"/>
    <w:rsid w:val="00190EE3"/>
    <w:rsid w:val="001A15AB"/>
    <w:rsid w:val="001F2112"/>
    <w:rsid w:val="002A40BF"/>
    <w:rsid w:val="003C0E04"/>
    <w:rsid w:val="005E7680"/>
    <w:rsid w:val="00612945"/>
    <w:rsid w:val="00674B38"/>
    <w:rsid w:val="00692D25"/>
    <w:rsid w:val="009340CA"/>
    <w:rsid w:val="0094023D"/>
    <w:rsid w:val="00A27A2B"/>
    <w:rsid w:val="00A45B04"/>
    <w:rsid w:val="00BD26F6"/>
    <w:rsid w:val="00C81B0D"/>
    <w:rsid w:val="00CC33B2"/>
    <w:rsid w:val="00D0491F"/>
    <w:rsid w:val="00D126B9"/>
    <w:rsid w:val="00EF7708"/>
    <w:rsid w:val="00F4737A"/>
    <w:rsid w:val="00F65CC1"/>
    <w:rsid w:val="00FD512D"/>
    <w:rsid w:val="00FF037D"/>
    <w:rsid w:val="012B591B"/>
    <w:rsid w:val="02D92350"/>
    <w:rsid w:val="040D7BC5"/>
    <w:rsid w:val="0A61606F"/>
    <w:rsid w:val="0BBF6B0E"/>
    <w:rsid w:val="0EFF0F27"/>
    <w:rsid w:val="10631A07"/>
    <w:rsid w:val="10C72FF5"/>
    <w:rsid w:val="11625B05"/>
    <w:rsid w:val="12D01E69"/>
    <w:rsid w:val="130F6B49"/>
    <w:rsid w:val="17063841"/>
    <w:rsid w:val="192165E0"/>
    <w:rsid w:val="1B690267"/>
    <w:rsid w:val="1BA44595"/>
    <w:rsid w:val="1C012909"/>
    <w:rsid w:val="23EB366F"/>
    <w:rsid w:val="27837C01"/>
    <w:rsid w:val="2A402B5F"/>
    <w:rsid w:val="2D331146"/>
    <w:rsid w:val="2F5A0887"/>
    <w:rsid w:val="34CE3D01"/>
    <w:rsid w:val="35FF09FD"/>
    <w:rsid w:val="3B1E394E"/>
    <w:rsid w:val="3FC36BE9"/>
    <w:rsid w:val="427D5FA6"/>
    <w:rsid w:val="446C77AA"/>
    <w:rsid w:val="49117592"/>
    <w:rsid w:val="4E0A512D"/>
    <w:rsid w:val="4EBC7D05"/>
    <w:rsid w:val="4F135C57"/>
    <w:rsid w:val="50303709"/>
    <w:rsid w:val="50AC0EB9"/>
    <w:rsid w:val="54341A23"/>
    <w:rsid w:val="559B20F3"/>
    <w:rsid w:val="55F52AE9"/>
    <w:rsid w:val="57EE7F59"/>
    <w:rsid w:val="57FF1791"/>
    <w:rsid w:val="5A3429C6"/>
    <w:rsid w:val="5AAB5A85"/>
    <w:rsid w:val="5C0B5444"/>
    <w:rsid w:val="5C9A63BF"/>
    <w:rsid w:val="5D4A6E71"/>
    <w:rsid w:val="5E254783"/>
    <w:rsid w:val="60295BDD"/>
    <w:rsid w:val="60E71779"/>
    <w:rsid w:val="615D6405"/>
    <w:rsid w:val="66052CF4"/>
    <w:rsid w:val="68FB5F2D"/>
    <w:rsid w:val="6A200EEF"/>
    <w:rsid w:val="6B04458E"/>
    <w:rsid w:val="6C7A4508"/>
    <w:rsid w:val="6FC702E4"/>
    <w:rsid w:val="70FE7B66"/>
    <w:rsid w:val="71057D1C"/>
    <w:rsid w:val="719B393A"/>
    <w:rsid w:val="71C11599"/>
    <w:rsid w:val="74E7128A"/>
    <w:rsid w:val="753D24AE"/>
    <w:rsid w:val="7B652288"/>
    <w:rsid w:val="7C8261E0"/>
    <w:rsid w:val="7D2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6" Type="http://schemas.openxmlformats.org/officeDocument/2006/relationships/fontTable" Target="fontTable.xml"/><Relationship Id="rId65" Type="http://schemas.openxmlformats.org/officeDocument/2006/relationships/customXml" Target="../customXml/item1.xml"/><Relationship Id="rId64" Type="http://schemas.openxmlformats.org/officeDocument/2006/relationships/image" Target="media/image23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2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1.wmf"/><Relationship Id="rId6" Type="http://schemas.openxmlformats.org/officeDocument/2006/relationships/footer" Target="footer1.xml"/><Relationship Id="rId59" Type="http://schemas.openxmlformats.org/officeDocument/2006/relationships/oleObject" Target="embeddings/oleObject30.bin"/><Relationship Id="rId58" Type="http://schemas.openxmlformats.org/officeDocument/2006/relationships/image" Target="media/image20.wmf"/><Relationship Id="rId57" Type="http://schemas.openxmlformats.org/officeDocument/2006/relationships/oleObject" Target="embeddings/oleObject29.bin"/><Relationship Id="rId56" Type="http://schemas.openxmlformats.org/officeDocument/2006/relationships/image" Target="media/image19.wmf"/><Relationship Id="rId55" Type="http://schemas.openxmlformats.org/officeDocument/2006/relationships/oleObject" Target="embeddings/oleObject28.bin"/><Relationship Id="rId54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2" Type="http://schemas.openxmlformats.org/officeDocument/2006/relationships/image" Target="media/image17.wmf"/><Relationship Id="rId51" Type="http://schemas.openxmlformats.org/officeDocument/2006/relationships/oleObject" Target="embeddings/oleObject26.bin"/><Relationship Id="rId50" Type="http://schemas.openxmlformats.org/officeDocument/2006/relationships/oleObject" Target="embeddings/oleObject25.bin"/><Relationship Id="rId5" Type="http://schemas.openxmlformats.org/officeDocument/2006/relationships/header" Target="header3.xml"/><Relationship Id="rId49" Type="http://schemas.openxmlformats.org/officeDocument/2006/relationships/oleObject" Target="embeddings/oleObject24.bin"/><Relationship Id="rId48" Type="http://schemas.openxmlformats.org/officeDocument/2006/relationships/image" Target="media/image16.wmf"/><Relationship Id="rId47" Type="http://schemas.openxmlformats.org/officeDocument/2006/relationships/oleObject" Target="embeddings/oleObject23.bin"/><Relationship Id="rId46" Type="http://schemas.openxmlformats.org/officeDocument/2006/relationships/image" Target="media/image15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3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2.wmf"/><Relationship Id="rId4" Type="http://schemas.openxmlformats.org/officeDocument/2006/relationships/header" Target="header2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1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0.wmf"/><Relationship Id="rId35" Type="http://schemas.openxmlformats.org/officeDocument/2006/relationships/oleObject" Target="embeddings/oleObject17.bin"/><Relationship Id="rId34" Type="http://schemas.openxmlformats.org/officeDocument/2006/relationships/image" Target="media/image9.wmf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image" Target="media/image8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image" Target="media/image7.wmf"/><Relationship Id="rId25" Type="http://schemas.openxmlformats.org/officeDocument/2006/relationships/oleObject" Target="embeddings/oleObject10.bin"/><Relationship Id="rId24" Type="http://schemas.openxmlformats.org/officeDocument/2006/relationships/image" Target="media/image6.wmf"/><Relationship Id="rId23" Type="http://schemas.openxmlformats.org/officeDocument/2006/relationships/oleObject" Target="embeddings/oleObject9.bin"/><Relationship Id="rId22" Type="http://schemas.openxmlformats.org/officeDocument/2006/relationships/image" Target="media/image5.wmf"/><Relationship Id="rId21" Type="http://schemas.openxmlformats.org/officeDocument/2006/relationships/oleObject" Target="embeddings/oleObject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6.bin"/><Relationship Id="rId17" Type="http://schemas.openxmlformats.org/officeDocument/2006/relationships/oleObject" Target="embeddings/oleObject5.bin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557</Words>
  <Characters>3176</Characters>
  <Lines>26</Lines>
  <Paragraphs>7</Paragraphs>
  <TotalTime>4</TotalTime>
  <ScaleCrop>false</ScaleCrop>
  <LinksUpToDate>false</LinksUpToDate>
  <CharactersWithSpaces>3726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2013-09-07T02:49:00Z</dcterms:created>
  <dc:creator>weichai</dc:creator>
  <cp:lastModifiedBy>金银铜铁</cp:lastModifiedBy>
  <dcterms:modified xsi:type="dcterms:W3CDTF">2020-06-18T14:20:19Z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