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0285-2020-QEO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鄂尔多斯市鼎健商贸有限责任公司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鄂尔多斯市鼎健商贸有限责任公司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东胜区迎宾路3号街坊1号楼06</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017000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内蒙古自治区鄂尔多斯市东胜区万家惠G区二楼20号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017000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康艳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18548739919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张文清</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于满江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 xml:space="preserve">2019-11-10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Q：厨房设备、酒店用品的销售</w:t>
            </w:r>
          </w:p>
          <w:p>
            <w:pPr>
              <w:spacing w:line="400" w:lineRule="exact"/>
              <w:rPr>
                <w:rFonts w:ascii="宋体" w:hAnsi="宋体"/>
                <w:b/>
                <w:color w:val="000000"/>
                <w:sz w:val="20"/>
                <w:szCs w:val="20"/>
              </w:rPr>
            </w:pPr>
            <w:r>
              <w:rPr>
                <w:rFonts w:ascii="宋体" w:hAnsi="宋体"/>
                <w:b/>
                <w:color w:val="000000"/>
                <w:sz w:val="20"/>
                <w:szCs w:val="20"/>
              </w:rPr>
              <w:t>E：厨房设备、酒店用品的销售及相关环境管理活动</w:t>
            </w:r>
          </w:p>
          <w:p>
            <w:pPr>
              <w:spacing w:line="400" w:lineRule="exact"/>
              <w:rPr>
                <w:rFonts w:ascii="宋体" w:hAnsi="宋体"/>
                <w:b/>
                <w:color w:val="000000"/>
                <w:sz w:val="20"/>
                <w:szCs w:val="20"/>
              </w:rPr>
            </w:pPr>
            <w:r>
              <w:rPr>
                <w:rFonts w:ascii="宋体" w:hAnsi="宋体"/>
                <w:b/>
                <w:color w:val="000000"/>
                <w:sz w:val="20"/>
                <w:szCs w:val="20"/>
              </w:rPr>
              <w:t>O：厨房设备、酒店用品的销售及相关职业健康安全管理活动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  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部门：高管层、员工代表、办公室</w:t>
      </w:r>
      <w:r>
        <w:rPr>
          <w:rFonts w:hint="eastAsia" w:ascii="宋体" w:hAnsi="宋体"/>
          <w:b/>
          <w:color w:val="000000"/>
          <w:sz w:val="20"/>
          <w:szCs w:val="20"/>
          <w:lang w:eastAsia="zh-CN"/>
        </w:rPr>
        <w:t>、销售部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numPr>
          <w:ilvl w:val="0"/>
          <w:numId w:val="1"/>
        </w:numPr>
        <w:spacing w:before="156" w:beforeLines="50" w:after="156" w:afterLines="50" w:line="360" w:lineRule="exact"/>
        <w:ind w:left="284" w:leftChars="125" w:hanging="21" w:hangingChars="8"/>
        <w:rPr>
          <w:rFonts w:hint="eastAsia" w:ascii="宋体" w:hAnsi="宋体"/>
          <w:b/>
          <w:color w:val="000000"/>
          <w:sz w:val="26"/>
          <w:szCs w:val="26"/>
        </w:rPr>
      </w:pPr>
      <w:r>
        <w:rPr>
          <w:rFonts w:hint="eastAsia" w:ascii="宋体" w:hAnsi="宋体"/>
          <w:b/>
          <w:color w:val="000000"/>
          <w:sz w:val="26"/>
          <w:szCs w:val="26"/>
        </w:rPr>
        <w:t>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widowControl w:val="0"/>
        <w:numPr>
          <w:numId w:val="0"/>
        </w:numPr>
        <w:spacing w:before="25" w:after="25"/>
        <w:jc w:val="both"/>
      </w:pPr>
    </w:p>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rPr>
            </w:pPr>
            <w:r>
              <w:rPr>
                <w:rFonts w:hint="eastAsia"/>
              </w:rPr>
              <w:t>产品</w:t>
            </w:r>
            <w:r>
              <w:rPr>
                <w:rFonts w:hint="eastAsia"/>
                <w:lang w:val="en-US" w:eastAsia="zh-CN"/>
              </w:rPr>
              <w:t>/</w:t>
            </w:r>
            <w:r>
              <w:rPr>
                <w:rFonts w:hint="eastAsia"/>
              </w:rPr>
              <w:t>服务：</w:t>
            </w:r>
          </w:p>
          <w:p>
            <w:pPr>
              <w:spacing w:line="320" w:lineRule="exact"/>
              <w:rPr>
                <w:rFonts w:ascii="宋体" w:hAnsi="宋体"/>
                <w:b/>
                <w:color w:val="000000" w:themeColor="text1"/>
                <w:sz w:val="20"/>
                <w:szCs w:val="20"/>
                <w:u w:val="single"/>
              </w:rPr>
            </w:pPr>
            <w:r>
              <w:rPr>
                <w:rFonts w:hint="eastAsia" w:ascii="宋体" w:hAnsi="宋体"/>
                <w:b/>
                <w:color w:val="000000" w:themeColor="text1"/>
                <w:sz w:val="20"/>
                <w:szCs w:val="20"/>
                <w:lang w:val="en-US" w:eastAsia="zh-CN"/>
              </w:rPr>
              <w:t>Q</w:t>
            </w:r>
            <w:r>
              <w:rPr>
                <w:rFonts w:ascii="宋体" w:hAnsi="宋体"/>
                <w:b/>
                <w:color w:val="000000" w:themeColor="text1"/>
                <w:sz w:val="20"/>
                <w:szCs w:val="20"/>
              </w:rPr>
              <w:t>：厨房设备、酒店用品的销售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E：厨房设备、酒店用品的销售及相关环境管理活动</w:t>
            </w:r>
          </w:p>
          <w:p>
            <w:pPr>
              <w:pStyle w:val="2"/>
            </w:pPr>
            <w:r>
              <w:rPr>
                <w:rFonts w:ascii="宋体" w:hAnsi="宋体"/>
                <w:b/>
                <w:color w:val="000000" w:themeColor="text1"/>
                <w:sz w:val="20"/>
                <w:szCs w:val="20"/>
              </w:rPr>
              <w:t>O：厨房设备、酒店用品的销售及相关职业健康安全管理活动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540"/>
              </w:tabs>
              <w:spacing w:line="300" w:lineRule="exact"/>
              <w:ind w:left="201" w:hanging="210" w:hangingChars="100"/>
              <w:rPr>
                <w:rFonts w:ascii="宋体"/>
                <w:color w:val="000000"/>
                <w:sz w:val="20"/>
                <w:szCs w:val="20"/>
              </w:rPr>
            </w:pPr>
            <w:r>
              <w:rPr>
                <w:rFonts w:hint="eastAsia" w:asciiTheme="minorEastAsia" w:hAnsiTheme="minorEastAsia" w:eastAsiaTheme="minorEastAsia" w:cstheme="minorEastAsia"/>
                <w:b w:val="0"/>
                <w:bCs w:val="0"/>
                <w:sz w:val="21"/>
                <w:szCs w:val="21"/>
              </w:rPr>
              <w:t>业务洽谈→合同评审→合同签订→供方评定→签订采购合同→供方发货→交付验收→满意度调查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特种设备是否按规定检定□是□否</w:t>
            </w:r>
            <w:r>
              <w:rPr>
                <w:rFonts w:hint="eastAsia" w:ascii="宋体" w:hAns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检测设备是否满足要求□是□否</w:t>
            </w:r>
            <w:r>
              <w:rPr>
                <w:rFonts w:hint="eastAsia" w:ascii="宋体"/>
                <w:color w:val="000000"/>
                <w:sz w:val="20"/>
                <w:szCs w:val="20"/>
                <w:lang w:val="en-US" w:eastAsia="zh-CN"/>
              </w:rPr>
              <w:t xml:space="preserve">   </w:t>
            </w:r>
            <w:r>
              <w:rPr>
                <w:rFonts w:hint="eastAsia" w:ascii="宋体"/>
                <w:color w:val="000000"/>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宋体"/>
                <w:color w:val="auto"/>
                <w:szCs w:val="21"/>
                <w:highlight w:val="none"/>
              </w:rPr>
              <w:t>潜在</w:t>
            </w:r>
            <w:r>
              <w:rPr>
                <w:rFonts w:hint="eastAsia" w:ascii="宋体" w:hAnsi="宋体"/>
                <w:color w:val="auto"/>
                <w:szCs w:val="21"/>
                <w:highlight w:val="none"/>
                <w:lang w:val="en-US" w:eastAsia="zh-CN"/>
              </w:rPr>
              <w:t>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bCs/>
                <w:sz w:val="21"/>
                <w:szCs w:val="21"/>
              </w:rPr>
              <w:t>潜在火灾、触电、新冠肺炎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 xml:space="preserve"> 7</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销售部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销售部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销售部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w:t>
            </w:r>
            <w:r>
              <w:rPr>
                <w:rFonts w:hint="eastAsia" w:ascii="宋体" w:hAnsi="宋体"/>
                <w:b/>
                <w:color w:val="000000"/>
                <w:sz w:val="20"/>
                <w:szCs w:val="20"/>
                <w:lang w:val="en-US" w:eastAsia="zh-CN"/>
              </w:rPr>
              <w:t xml:space="preserve">   </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vAlign w:val="top"/>
          </w:tcPr>
          <w:p>
            <w:pPr>
              <w:widowControl/>
              <w:jc w:val="left"/>
              <w:rPr>
                <w:rFonts w:ascii="宋体"/>
                <w:b/>
                <w:color w:val="000000"/>
                <w:sz w:val="20"/>
                <w:szCs w:val="20"/>
              </w:rPr>
            </w:pPr>
          </w:p>
        </w:tc>
        <w:tc>
          <w:tcPr>
            <w:tcW w:w="708" w:type="dxa"/>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vAlign w:val="top"/>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w:t>
      </w:r>
      <w:r>
        <w:rPr>
          <w:rFonts w:hint="eastAsia" w:ascii="宋体" w:hAnsi="宋体"/>
          <w:b/>
          <w:color w:val="000000"/>
          <w:sz w:val="20"/>
          <w:szCs w:val="20"/>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23956992" behindDoc="0" locked="0" layoutInCell="1" allowOverlap="1">
            <wp:simplePos x="0" y="0"/>
            <wp:positionH relativeFrom="column">
              <wp:posOffset>1761490</wp:posOffset>
            </wp:positionH>
            <wp:positionV relativeFrom="paragraph">
              <wp:posOffset>19685</wp:posOffset>
            </wp:positionV>
            <wp:extent cx="573405" cy="283210"/>
            <wp:effectExtent l="0" t="0" r="17145"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23958016" behindDoc="0" locked="0" layoutInCell="1" allowOverlap="1">
            <wp:simplePos x="0" y="0"/>
            <wp:positionH relativeFrom="column">
              <wp:posOffset>1792605</wp:posOffset>
            </wp:positionH>
            <wp:positionV relativeFrom="paragraph">
              <wp:posOffset>139700</wp:posOffset>
            </wp:positionV>
            <wp:extent cx="666750" cy="3905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66750" cy="39052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2020年6月22</w:t>
      </w:r>
      <w:bookmarkStart w:id="24" w:name="_GoBack"/>
      <w:bookmarkEnd w:id="24"/>
      <w:r>
        <w:rPr>
          <w:rFonts w:hint="eastAsia" w:ascii="宋体" w:hAnsi="宋体"/>
          <w:b/>
          <w:color w:val="000000"/>
          <w:lang w:val="en-US" w:eastAsia="zh-CN"/>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p>
    <w:p>
      <w:pPr>
        <w:pStyle w:val="2"/>
      </w:pPr>
    </w:p>
    <w:p>
      <w:pPr>
        <w:pStyle w:val="5"/>
        <w:pBdr>
          <w:bottom w:val="none" w:color="auto" w:sz="0" w:space="0"/>
        </w:pBdr>
        <w:ind w:right="600" w:firstLine="660"/>
        <w:jc w:val="left"/>
        <w:rPr>
          <w:rFonts w:hint="eastAsia" w:eastAsia="隶书"/>
          <w:color w:val="000000"/>
          <w:sz w:val="32"/>
          <w:szCs w:val="32"/>
          <w:lang w:eastAsia="zh-CN"/>
        </w:rPr>
      </w:pPr>
      <w:r>
        <w:rPr>
          <w:rFonts w:hint="eastAsia" w:eastAsia="隶书"/>
          <w:color w:val="000000"/>
          <w:sz w:val="32"/>
          <w:szCs w:val="32"/>
        </w:rPr>
        <w:t>第一阶段现场审核问题</w:t>
      </w:r>
      <w:r>
        <w:rPr>
          <w:rFonts w:hint="eastAsia" w:eastAsia="隶书"/>
          <w:color w:val="000000"/>
          <w:sz w:val="32"/>
          <w:szCs w:val="32"/>
          <w:lang w:eastAsia="zh-CN"/>
        </w:rPr>
        <w:t>：无</w:t>
      </w: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2DEE7"/>
    <w:multiLevelType w:val="singleLevel"/>
    <w:tmpl w:val="6992DE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F7A82"/>
    <w:rsid w:val="0609093A"/>
    <w:rsid w:val="10F1134E"/>
    <w:rsid w:val="158F55FE"/>
    <w:rsid w:val="1A546BB6"/>
    <w:rsid w:val="2A506D58"/>
    <w:rsid w:val="2DF20A98"/>
    <w:rsid w:val="3560042B"/>
    <w:rsid w:val="38EF45B0"/>
    <w:rsid w:val="3EFC7998"/>
    <w:rsid w:val="40B03CBD"/>
    <w:rsid w:val="40D40D2B"/>
    <w:rsid w:val="43D90521"/>
    <w:rsid w:val="44062848"/>
    <w:rsid w:val="45C84E84"/>
    <w:rsid w:val="48FB2850"/>
    <w:rsid w:val="52CA1936"/>
    <w:rsid w:val="5C460311"/>
    <w:rsid w:val="718A6086"/>
    <w:rsid w:val="73BB1B87"/>
    <w:rsid w:val="73BD2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2020-06-25T11:03:34Z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