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8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83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受审核部门：管理层、综合部    总经理：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高鼎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管代：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于满江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陪同：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康艳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审核员：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审核时间： 2020.6.22</w:t>
            </w:r>
          </w:p>
        </w:tc>
        <w:tc>
          <w:tcPr>
            <w:tcW w:w="751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</w:tc>
        <w:tc>
          <w:tcPr>
            <w:tcW w:w="751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产品实现流程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销售服务实现流程：</w:t>
            </w:r>
          </w:p>
          <w:p>
            <w:pPr>
              <w:tabs>
                <w:tab w:val="left" w:pos="900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业务洽谈→合同评审→合同签订→供方评定→签订采购合同→供方发货→交付验收→满意度调查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lang w:val="en-US" w:eastAsia="zh-CN"/>
              </w:rPr>
              <w:t>Q8.5.1</w:t>
            </w:r>
            <w:bookmarkStart w:id="0" w:name="_GoBack"/>
            <w:bookmarkEnd w:id="0"/>
          </w:p>
        </w:tc>
        <w:tc>
          <w:tcPr>
            <w:tcW w:w="7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执行的排污标准（EMS）顾客及相关方投诉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</w:tcPr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提供《适用的法律法规清单》、提供了《外来文件情况清单》，外来文件清单中，提供与“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厨房设备、酒店用品的销售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”相关的标准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不需要环评报告。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相关方投诉情况：无。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合规性评价报告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不可接受危险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</w:tcPr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提供了环境及职业健康安全的法律、法规和其他要求清单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提供了本公司的环境和安全管理方案和控制措施，有编制人、审批人签字，二阶段进行进一步关注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2524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eastAsia="zh-CN"/>
              </w:rPr>
              <w:tab/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2020年03月10日针对OHS和EMS对适用的法律法规符合性进行了评价，提供了2020年合规性评价记录。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无需环境、职业健康安全相关监测报告（EMS、OHS）。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5737"/>
                <w:tab w:val="clear" w:pos="4153"/>
                <w:tab w:val="clear" w:pos="8306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ab/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提供了“重要环境因素清单”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意外发生火灾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固体废弃物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提供了“不可接受风险清单”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潜在火灾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触电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新冠肺炎</w:t>
            </w:r>
          </w:p>
        </w:tc>
        <w:tc>
          <w:tcPr>
            <w:tcW w:w="7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环保\安全监测设备（EMS、OHS）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</w:tcPr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未见特种设备台账。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办公设备：电脑、电话、打印机等</w:t>
            </w:r>
          </w:p>
          <w:p>
            <w:pPr>
              <w:pStyle w:val="2"/>
              <w:rPr>
                <w:rStyle w:val="12"/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  <w:t>环保设备：垃圾桶、灭火器</w:t>
            </w:r>
          </w:p>
          <w:p>
            <w:pPr>
              <w:pStyle w:val="2"/>
              <w:rPr>
                <w:rStyle w:val="12"/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shd w:val="clear" w:color="auto" w:fill="FFFFFF"/>
              </w:rPr>
              <w:t>消防设施：消防栓、灭火器、应急灯等</w:t>
            </w: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</w:p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无环保\安全监测设备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38" w:type="dxa"/>
          </w:tcPr>
          <w:p>
            <w:pP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经询问，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鄂尔多斯市鼎健商贸有限责任公司成立于2009 年9月15日，营业期限：2006年03月24日- 2039年09月14日，注册资金： 500万，企业信用代码：9115060269288538XP，注册地址：东胜区迎宾路3号街坊1号楼06，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经查看，办公面积1400平米左右，有生产现场，现集中办公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具备二阶段审核的条件</w:t>
            </w:r>
          </w:p>
        </w:tc>
        <w:tc>
          <w:tcPr>
            <w:tcW w:w="75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B3A60"/>
    <w:rsid w:val="0D482F2E"/>
    <w:rsid w:val="15B35AF5"/>
    <w:rsid w:val="1C8E093B"/>
    <w:rsid w:val="235065EE"/>
    <w:rsid w:val="339C0466"/>
    <w:rsid w:val="4D384241"/>
    <w:rsid w:val="68574651"/>
    <w:rsid w:val="72AD6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info-content-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2020-06-25T09:39:15Z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