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20618-2024-QEOFH</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邢台慧百膳餐饮服务有限公司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2024-N1QMS-7043149</w:t>
            </w:r>
          </w:p>
          <w:p w:rsidR="00F9189D">
            <w:pPr>
              <w:spacing w:line="360" w:lineRule="auto"/>
              <w:jc w:val="center"/>
              <w:rPr>
                <w:b/>
                <w:szCs w:val="21"/>
              </w:rPr>
            </w:pPr>
            <w:r>
              <w:rPr>
                <w:b/>
                <w:szCs w:val="21"/>
              </w:rPr>
              <w:t>2024-N1EMS-5043149</w:t>
            </w:r>
          </w:p>
          <w:p w:rsidR="00F9189D">
            <w:pPr>
              <w:spacing w:line="360" w:lineRule="auto"/>
              <w:jc w:val="center"/>
              <w:rPr>
                <w:b/>
                <w:szCs w:val="21"/>
              </w:rPr>
            </w:pPr>
            <w:r>
              <w:rPr>
                <w:b/>
                <w:szCs w:val="21"/>
              </w:rPr>
              <w:t>2023-N1OHSMS-4043149</w:t>
            </w:r>
          </w:p>
          <w:p w:rsidR="00F9189D">
            <w:pPr>
              <w:spacing w:line="360" w:lineRule="auto"/>
              <w:jc w:val="center"/>
              <w:rPr>
                <w:b/>
                <w:szCs w:val="21"/>
              </w:rPr>
            </w:pPr>
            <w:r>
              <w:rPr>
                <w:b/>
                <w:szCs w:val="21"/>
              </w:rPr>
              <w:t>2024-N1FSMS-1043149</w:t>
            </w:r>
          </w:p>
          <w:p w:rsidR="00F9189D">
            <w:pPr>
              <w:spacing w:line="360" w:lineRule="auto"/>
              <w:jc w:val="center"/>
              <w:rPr>
                <w:b/>
                <w:szCs w:val="21"/>
              </w:rPr>
            </w:pPr>
            <w:r>
              <w:rPr>
                <w:b/>
                <w:szCs w:val="21"/>
              </w:rPr>
              <w:t>2024-N1HACCP-1043149</w:t>
            </w:r>
          </w:p>
        </w:tc>
        <w:tc>
          <w:tcPr>
            <w:tcW w:w="3145" w:type="dxa"/>
            <w:vAlign w:val="center"/>
          </w:tcPr>
          <w:p w:rsidR="00F9189D">
            <w:pPr>
              <w:spacing w:line="360" w:lineRule="auto"/>
              <w:jc w:val="center"/>
              <w:rPr>
                <w:b/>
                <w:szCs w:val="21"/>
              </w:rPr>
            </w:pPr>
            <w:r>
              <w:rPr>
                <w:b/>
                <w:szCs w:val="21"/>
              </w:rPr>
              <w:t>Q:30.05.00</w:t>
            </w:r>
          </w:p>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高艳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2024-N1QMS-1407290</w:t>
            </w:r>
          </w:p>
          <w:p w:rsidR="00F9189D">
            <w:pPr>
              <w:spacing w:line="360" w:lineRule="auto"/>
              <w:jc w:val="center"/>
              <w:rPr>
                <w:b/>
                <w:szCs w:val="21"/>
              </w:rPr>
            </w:pPr>
            <w:r>
              <w:rPr>
                <w:b/>
                <w:szCs w:val="21"/>
              </w:rPr>
              <w:t>2024-N1EMS-1407290</w:t>
            </w:r>
          </w:p>
          <w:p w:rsidR="00F9189D">
            <w:pPr>
              <w:spacing w:line="360" w:lineRule="auto"/>
              <w:jc w:val="center"/>
              <w:rPr>
                <w:b/>
                <w:szCs w:val="21"/>
              </w:rPr>
            </w:pPr>
            <w:r>
              <w:rPr>
                <w:b/>
                <w:szCs w:val="21"/>
              </w:rPr>
              <w:t>2024-N1OHSMS-1407290</w:t>
            </w:r>
          </w:p>
        </w:tc>
        <w:tc>
          <w:tcPr>
            <w:tcW w:w="3145" w:type="dxa"/>
            <w:vAlign w:val="center"/>
          </w:tcPr>
          <w:p w:rsidR="00F9189D">
            <w:pPr>
              <w:spacing w:line="360" w:lineRule="auto"/>
              <w:jc w:val="center"/>
              <w:rPr>
                <w:b/>
                <w:szCs w:val="21"/>
              </w:rPr>
            </w:pPr>
            <w:r>
              <w:rPr>
                <w:b/>
                <w:szCs w:val="21"/>
              </w:rPr>
              <w:t>E:30.05.00</w:t>
            </w:r>
          </w:p>
          <w:p w:rsidR="00F9189D">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2024年11月01日 上午至2024年11月02日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河北省邢台市柏乡县中兴路博驰众创空间一楼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河北省邢台市柏乡县中兴路博驰众创空间一楼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