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20596-2023-QEO-2024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嘉善鸿达塑业股份有限公司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曾正，回良旭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曾正</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2022-N1EMS-1208614</w:t>
            </w:r>
          </w:p>
          <w:p w:rsidR="00F9189D">
            <w:pPr>
              <w:spacing w:line="360" w:lineRule="auto"/>
              <w:jc w:val="center"/>
              <w:rPr>
                <w:b/>
                <w:szCs w:val="21"/>
              </w:rPr>
            </w:pPr>
            <w:r>
              <w:rPr>
                <w:b/>
                <w:szCs w:val="21"/>
              </w:rPr>
              <w:t>2024-N1QMS-3208614</w:t>
            </w:r>
          </w:p>
          <w:p w:rsidR="00F9189D">
            <w:pPr>
              <w:spacing w:line="360" w:lineRule="auto"/>
              <w:jc w:val="center"/>
              <w:rPr>
                <w:b/>
                <w:szCs w:val="21"/>
              </w:rPr>
            </w:pPr>
            <w:r>
              <w:rPr>
                <w:b/>
                <w:szCs w:val="21"/>
              </w:rPr>
              <w:t>2024-N1OHSMS-1208614</w:t>
            </w:r>
          </w:p>
        </w:tc>
        <w:tc>
          <w:tcPr>
            <w:tcW w:w="3145" w:type="dxa"/>
            <w:vAlign w:val="center"/>
          </w:tcPr>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回良旭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2024-N0EMS-1434293</w:t>
            </w:r>
          </w:p>
          <w:p w:rsidR="00F9189D">
            <w:pPr>
              <w:spacing w:line="360" w:lineRule="auto"/>
              <w:jc w:val="center"/>
              <w:rPr>
                <w:b/>
                <w:szCs w:val="21"/>
              </w:rPr>
            </w:pPr>
            <w:r>
              <w:rPr>
                <w:b/>
                <w:szCs w:val="21"/>
              </w:rPr>
              <w:t>2024-N0QMS-1434293</w:t>
            </w:r>
          </w:p>
          <w:p w:rsidR="00F9189D">
            <w:pPr>
              <w:spacing w:line="360" w:lineRule="auto"/>
              <w:jc w:val="center"/>
              <w:rPr>
                <w:b/>
                <w:szCs w:val="21"/>
              </w:rPr>
            </w:pPr>
            <w:r>
              <w:rPr>
                <w:b/>
                <w:szCs w:val="21"/>
              </w:rPr>
              <w:t>2024-N0OHSMS-1434293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2024年10月25日 上午至2024年10月25日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浙江省嘉兴市嘉善县天凝镇荆杨南路66号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浙江省嘉兴市嘉善县天凝镇荆杨南路66号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