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0"/>
        <w:gridCol w:w="1290"/>
        <w:gridCol w:w="793"/>
        <w:gridCol w:w="2002"/>
        <w:gridCol w:w="1185"/>
        <w:gridCol w:w="19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color w:val="000000"/>
                <w:szCs w:val="21"/>
              </w:rPr>
              <w:t>成都嘉鹏科技有限公司</w:t>
            </w:r>
            <w:bookmarkEnd w:id="3"/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14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4" w:name="专业代码"/>
            <w:r>
              <w:rPr>
                <w:rFonts w:hint="eastAsia"/>
                <w:b/>
                <w:szCs w:val="21"/>
              </w:rPr>
              <w:t>E：12.04.01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O：12.04.01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夏成龙</w:t>
            </w: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2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E：12.04.01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O：12.04.01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杨珍全</w:t>
            </w: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原材料</w:t>
            </w:r>
            <w:r>
              <w:rPr>
                <w:rFonts w:hint="eastAsia"/>
                <w:highlight w:val="none"/>
              </w:rPr>
              <w:t>——投料搅拌——</w:t>
            </w:r>
            <w:r>
              <w:rPr>
                <w:rFonts w:hint="eastAsia"/>
                <w:highlight w:val="none"/>
                <w:lang w:val="en-US" w:eastAsia="zh-CN"/>
              </w:rPr>
              <w:t>放料</w:t>
            </w:r>
            <w:r>
              <w:rPr>
                <w:rFonts w:hint="eastAsia"/>
                <w:highlight w:val="none"/>
              </w:rPr>
              <w:t>——过滤——包装——储存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搅拌</w:t>
            </w:r>
            <w:r>
              <w:rPr>
                <w:rFonts w:hint="eastAsia"/>
                <w:highlight w:val="none"/>
                <w:lang w:val="en-US" w:eastAsia="zh-CN"/>
              </w:rPr>
              <w:t>过程</w:t>
            </w:r>
            <w:r>
              <w:rPr>
                <w:rFonts w:hint="eastAsia" w:ascii="宋体" w:hAnsi="宋体"/>
                <w:szCs w:val="21"/>
                <w:highlight w:val="none"/>
              </w:rPr>
              <w:t>为关键过程。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t>投料搅拌、储存过程,会产生气味、粉尘、噪声的污染物和职业危害。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center" w:pos="3169"/>
              </w:tabs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1、潜在火灾；2、噪声排放；3、固废（含危废）的排放；4、粉尘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1、火灾导致人身伤害；2、触电；3、职业病（噪音、粉尘），通过管理方案和预案控制。</w:t>
            </w:r>
          </w:p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工业企业厂界环境噪声排放标准》（GB12348-2008）3类；中华人民共和国安全消防法、中华人民共和国劳动合同法、中华人民共和国安全生产法、洁厕灵GB/T21241－2007、酸性清洁剂、GB/T21241－2007、全能清洁剂Q/91510113551083842X.05-2018、强力助洗Q/55108384-2.08-2016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426085</wp:posOffset>
                  </wp:positionV>
                  <wp:extent cx="776605" cy="467995"/>
                  <wp:effectExtent l="0" t="0" r="635" b="4445"/>
                  <wp:wrapNone/>
                  <wp:docPr id="1" name="图片 1" descr="d270045230bc72999a0e1ac19011e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270045230bc72999a0e1ac19011e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 w:hAnsi="Times New Roman" w:cs="Times New Roman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91440</wp:posOffset>
            </wp:positionV>
            <wp:extent cx="697230" cy="431800"/>
            <wp:effectExtent l="0" t="0" r="3810" b="10160"/>
            <wp:wrapSquare wrapText="bothSides"/>
            <wp:docPr id="2" name="图片 2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杨珍全电子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ind w:firstLine="221" w:firstLineChars="100"/>
        <w:rPr>
          <w:rFonts w:ascii="宋体" w:hAnsi="Times New Roman" w:cs="Times New Roman"/>
          <w:b/>
          <w:sz w:val="22"/>
          <w:szCs w:val="22"/>
        </w:rPr>
      </w:pPr>
      <w:r>
        <w:rPr>
          <w:rFonts w:hint="eastAsia" w:ascii="宋体" w:hAnsi="Times New Roman" w:cs="Times New Roman"/>
          <w:b/>
          <w:sz w:val="22"/>
          <w:szCs w:val="22"/>
        </w:rPr>
        <w:t xml:space="preserve">填表人(专业人员)：   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Times New Roman" w:cs="Times New Roman"/>
          <w:b/>
          <w:sz w:val="22"/>
          <w:szCs w:val="22"/>
        </w:rPr>
        <w:t>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2020.06.16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审核组长：  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Times New Roman" w:cs="Times New Roman"/>
          <w:b/>
          <w:sz w:val="22"/>
          <w:szCs w:val="22"/>
        </w:rPr>
        <w:t>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2020.06.16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p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0C1161"/>
    <w:rsid w:val="34BD3226"/>
    <w:rsid w:val="4A154E6D"/>
    <w:rsid w:val="4B673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2020-06-22T01:53:02Z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