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2C362E">
        <w:rPr>
          <w:rFonts w:hint="eastAsia"/>
          <w:color w:val="000000"/>
          <w:szCs w:val="21"/>
        </w:rPr>
        <w:t>山东育人教育科技有限公司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BA6762">
        <w:rPr>
          <w:rFonts w:ascii="宋体" w:hAnsi="宋体" w:hint="eastAsia"/>
        </w:rPr>
        <w:t>行政部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180E1D">
        <w:rPr>
          <w:rFonts w:ascii="宋体" w:hAnsi="宋体" w:hint="eastAsia"/>
        </w:rPr>
        <w:t>李俐</w:t>
      </w:r>
      <w:r>
        <w:rPr>
          <w:rFonts w:ascii="宋体" w:hAnsi="宋体" w:hint="eastAsia"/>
        </w:rPr>
        <w:t xml:space="preserve">                                                     审核时间:  2020 年</w:t>
      </w:r>
      <w:r w:rsidR="00BA6762">
        <w:rPr>
          <w:rFonts w:ascii="宋体" w:hAnsi="宋体" w:hint="eastAsia"/>
        </w:rPr>
        <w:t>6</w:t>
      </w:r>
      <w:r>
        <w:rPr>
          <w:rFonts w:ascii="宋体" w:hAnsi="宋体" w:hint="eastAsia"/>
        </w:rPr>
        <w:t>月</w:t>
      </w:r>
      <w:r w:rsidR="00BA6762">
        <w:rPr>
          <w:rFonts w:ascii="宋体" w:hAnsi="宋体" w:hint="eastAsia"/>
        </w:rPr>
        <w:t>15-16</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A76D2F">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3962F9">
              <w:rPr>
                <w:rFonts w:ascii="宋体" w:hAnsi="宋体" w:hint="eastAsia"/>
                <w:u w:val="single"/>
              </w:rPr>
              <w:t>李静</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3962F9" w:rsidRPr="003962F9">
              <w:rPr>
                <w:rFonts w:ascii="宋体" w:hAnsi="宋体" w:hint="eastAsia"/>
                <w:u w:val="single"/>
              </w:rPr>
              <w:t>岳慧增</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95389">
              <w:rPr>
                <w:rFonts w:ascii="宋体" w:hAnsi="宋体" w:hint="eastAsia"/>
                <w:u w:val="single"/>
              </w:rPr>
              <w:t>6</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95389">
              <w:rPr>
                <w:rFonts w:ascii="宋体" w:hAnsi="宋体" w:hint="eastAsia"/>
                <w:u w:val="single"/>
              </w:rPr>
              <w:t>6</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95389">
              <w:rPr>
                <w:rFonts w:ascii="宋体" w:hAnsi="宋体" w:hint="eastAsia"/>
                <w:u w:val="single"/>
              </w:rPr>
              <w:t>6</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395389">
              <w:rPr>
                <w:rFonts w:ascii="宋体" w:hAnsi="宋体" w:hint="eastAsia"/>
                <w:u w:val="single"/>
              </w:rPr>
              <w:t>6</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BA6762">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CD0699">
            <w:pPr>
              <w:adjustRightInd w:val="0"/>
              <w:spacing w:line="280" w:lineRule="exact"/>
              <w:ind w:firstLineChars="100" w:firstLine="210"/>
              <w:jc w:val="left"/>
              <w:rPr>
                <w:rFonts w:ascii="宋体"/>
                <w:szCs w:val="21"/>
                <w:u w:val="single"/>
              </w:rPr>
            </w:pPr>
            <w:r>
              <w:rPr>
                <w:rFonts w:ascii="宋体" w:hint="eastAsia"/>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C46BA" w:rsidRPr="00CD0699" w:rsidRDefault="0019618A">
            <w:pPr>
              <w:spacing w:line="276" w:lineRule="auto"/>
              <w:rPr>
                <w:rFonts w:ascii="宋体" w:hAnsi="宋体" w:cs="宋体"/>
                <w:kern w:val="0"/>
                <w:szCs w:val="21"/>
                <w:u w:val="single"/>
              </w:rPr>
            </w:pPr>
            <w:r w:rsidRPr="009C4740">
              <w:rPr>
                <w:rFonts w:ascii="宋体" w:hAnsi="宋体" w:cs="宋体"/>
                <w:kern w:val="0"/>
                <w:szCs w:val="21"/>
                <w:u w:val="single"/>
              </w:rPr>
              <w:t>QMS</w:t>
            </w:r>
            <w:r w:rsidRPr="00CD0699">
              <w:rPr>
                <w:rFonts w:ascii="宋体" w:hAnsi="宋体" w:cs="宋体" w:hint="eastAsia"/>
                <w:kern w:val="0"/>
                <w:szCs w:val="21"/>
                <w:u w:val="single"/>
              </w:rPr>
              <w:t xml:space="preserve">: </w:t>
            </w:r>
            <w:r w:rsidR="00CD0699" w:rsidRPr="00CD0699">
              <w:rPr>
                <w:rFonts w:ascii="宋体" w:hAnsi="宋体" w:hint="eastAsia"/>
                <w:szCs w:val="21"/>
                <w:u w:val="single"/>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Pr="00CD0699">
              <w:rPr>
                <w:rFonts w:ascii="宋体" w:hAnsi="宋体" w:cs="宋体" w:hint="eastAsia"/>
                <w:kern w:val="0"/>
                <w:szCs w:val="21"/>
                <w:u w:val="single"/>
              </w:rPr>
              <w:t>的销售；</w:t>
            </w:r>
          </w:p>
          <w:p w:rsidR="00DC46BA" w:rsidRPr="00CD0699" w:rsidRDefault="0019618A">
            <w:pPr>
              <w:spacing w:line="276" w:lineRule="auto"/>
              <w:jc w:val="left"/>
              <w:rPr>
                <w:rFonts w:ascii="宋体" w:hAnsi="宋体" w:cs="宋体"/>
                <w:kern w:val="0"/>
                <w:szCs w:val="21"/>
                <w:u w:val="single"/>
              </w:rPr>
            </w:pPr>
            <w:r w:rsidRPr="00CD0699">
              <w:rPr>
                <w:rFonts w:ascii="宋体" w:hAnsi="宋体" w:cs="宋体"/>
                <w:kern w:val="0"/>
                <w:szCs w:val="21"/>
                <w:u w:val="single"/>
              </w:rPr>
              <w:t>EMS:</w:t>
            </w:r>
            <w:r w:rsidR="00CD0699" w:rsidRPr="00CD0699">
              <w:rPr>
                <w:rFonts w:ascii="宋体" w:hAnsi="宋体" w:hint="eastAsia"/>
                <w:szCs w:val="21"/>
                <w:u w:val="single"/>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Pr="00CD0699">
              <w:rPr>
                <w:rFonts w:ascii="宋体" w:hAnsi="宋体" w:cs="宋体" w:hint="eastAsia"/>
                <w:kern w:val="0"/>
                <w:szCs w:val="21"/>
                <w:u w:val="single"/>
              </w:rPr>
              <w:t>的销售</w:t>
            </w:r>
            <w:r w:rsidRPr="00CD0699">
              <w:rPr>
                <w:rFonts w:ascii="宋体" w:hAnsi="宋体" w:cs="宋体"/>
                <w:kern w:val="0"/>
                <w:szCs w:val="21"/>
                <w:u w:val="single"/>
              </w:rPr>
              <w:t>及</w:t>
            </w:r>
            <w:r w:rsidRPr="00CD0699">
              <w:rPr>
                <w:rFonts w:ascii="宋体" w:hAnsi="宋体" w:cs="宋体" w:hint="eastAsia"/>
                <w:kern w:val="0"/>
                <w:szCs w:val="21"/>
                <w:u w:val="single"/>
              </w:rPr>
              <w:t>相关环境管理活动；</w:t>
            </w:r>
          </w:p>
          <w:p w:rsidR="00DC46BA" w:rsidRPr="00CD0699" w:rsidRDefault="0019618A">
            <w:pPr>
              <w:spacing w:line="0" w:lineRule="atLeast"/>
              <w:jc w:val="left"/>
              <w:rPr>
                <w:rFonts w:ascii="宋体" w:hAnsi="宋体"/>
                <w:szCs w:val="21"/>
                <w:u w:val="single"/>
              </w:rPr>
            </w:pPr>
            <w:r w:rsidRPr="00CD0699">
              <w:rPr>
                <w:rFonts w:ascii="宋体" w:hAnsi="宋体" w:cs="宋体"/>
                <w:kern w:val="0"/>
                <w:szCs w:val="21"/>
                <w:u w:val="single"/>
              </w:rPr>
              <w:t>OHSMS:</w:t>
            </w:r>
            <w:r w:rsidR="00CD0699" w:rsidRPr="00CD0699">
              <w:rPr>
                <w:rFonts w:ascii="宋体" w:hAnsi="宋体" w:hint="eastAsia"/>
                <w:szCs w:val="21"/>
                <w:u w:val="single"/>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Pr="00CD0699">
              <w:rPr>
                <w:rFonts w:ascii="宋体" w:hAnsi="宋体" w:cs="宋体" w:hint="eastAsia"/>
                <w:kern w:val="0"/>
                <w:szCs w:val="21"/>
                <w:u w:val="single"/>
              </w:rPr>
              <w:t>的</w:t>
            </w:r>
            <w:r w:rsidRPr="00CD0699">
              <w:rPr>
                <w:rFonts w:hint="eastAsia"/>
                <w:bCs/>
                <w:szCs w:val="21"/>
                <w:u w:val="single"/>
              </w:rPr>
              <w:t>销售</w:t>
            </w:r>
            <w:r w:rsidRPr="00CD0699">
              <w:rPr>
                <w:rFonts w:ascii="宋体" w:hAnsi="宋体" w:cs="宋体"/>
                <w:kern w:val="0"/>
                <w:szCs w:val="21"/>
                <w:u w:val="single"/>
              </w:rPr>
              <w:t>及</w:t>
            </w:r>
            <w:r w:rsidRPr="00CD0699">
              <w:rPr>
                <w:rFonts w:ascii="宋体" w:hAnsi="宋体" w:cs="宋体" w:hint="eastAsia"/>
                <w:kern w:val="0"/>
                <w:szCs w:val="21"/>
                <w:u w:val="single"/>
              </w:rPr>
              <w:t>相关职业健康安全管理活动；</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bookmarkStart w:id="1" w:name="_GoBack"/>
            <w:bookmarkEnd w:id="1"/>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sidR="009C4740">
              <w:rPr>
                <w:rFonts w:ascii="宋体" w:hAnsi="宋体" w:hint="eastAsia"/>
                <w:szCs w:val="22"/>
              </w:rPr>
              <w:t>1</w:t>
            </w:r>
            <w:r w:rsidR="00017559">
              <w:rPr>
                <w:rFonts w:ascii="宋体" w:hAnsi="宋体" w:hint="eastAsia"/>
                <w:szCs w:val="22"/>
              </w:rPr>
              <w:t>0</w:t>
            </w:r>
            <w:r>
              <w:rPr>
                <w:rFonts w:ascii="宋体" w:hAnsi="宋体" w:hint="eastAsia"/>
                <w:szCs w:val="22"/>
              </w:rPr>
              <w:t>月</w:t>
            </w:r>
            <w:r w:rsidR="009C4740">
              <w:rPr>
                <w:rFonts w:ascii="宋体" w:hAnsi="宋体" w:hint="eastAsia"/>
                <w:szCs w:val="22"/>
              </w:rPr>
              <w:t>1</w:t>
            </w:r>
            <w:r w:rsidR="00017559">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tabs>
                <w:tab w:val="left" w:pos="1305"/>
              </w:tabs>
            </w:pP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tabs>
                <w:tab w:val="left" w:pos="1305"/>
              </w:tabs>
            </w:pP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color w:val="4F81BD"/>
                <w:szCs w:val="21"/>
              </w:rPr>
            </w:pPr>
          </w:p>
        </w:tc>
        <w:tc>
          <w:tcPr>
            <w:tcW w:w="1400" w:type="dxa"/>
          </w:tcPr>
          <w:p w:rsidR="00DC46BA" w:rsidRDefault="00DC46BA">
            <w:pPr>
              <w:tabs>
                <w:tab w:val="left" w:pos="1305"/>
              </w:tabs>
            </w:pP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ind w:firstLineChars="150" w:firstLine="315"/>
              <w:jc w:val="left"/>
              <w:rPr>
                <w:color w:val="4F81BD"/>
              </w:rPr>
            </w:pPr>
          </w:p>
        </w:tc>
        <w:tc>
          <w:tcPr>
            <w:tcW w:w="1400" w:type="dxa"/>
          </w:tcPr>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DC46BA">
            <w:pPr>
              <w:tabs>
                <w:tab w:val="left" w:pos="1305"/>
              </w:tabs>
              <w:rPr>
                <w:rFonts w:ascii="宋体" w:hAnsi="宋体"/>
              </w:rPr>
            </w:pPr>
          </w:p>
        </w:tc>
        <w:tc>
          <w:tcPr>
            <w:tcW w:w="1400" w:type="dxa"/>
          </w:tcPr>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rPr>
            </w:pPr>
          </w:p>
        </w:tc>
        <w:tc>
          <w:tcPr>
            <w:tcW w:w="1400" w:type="dxa"/>
          </w:tcPr>
          <w:p w:rsidR="00DC46BA" w:rsidRDefault="00DC46BA">
            <w:pPr>
              <w:tabs>
                <w:tab w:val="left" w:pos="1305"/>
              </w:tabs>
            </w:pP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rPr>
            </w:pPr>
          </w:p>
        </w:tc>
        <w:tc>
          <w:tcPr>
            <w:tcW w:w="1400" w:type="dxa"/>
          </w:tcPr>
          <w:p w:rsidR="00DC46BA" w:rsidRDefault="00DC46BA">
            <w:pPr>
              <w:tabs>
                <w:tab w:val="left" w:pos="1305"/>
              </w:tabs>
            </w:pPr>
          </w:p>
        </w:tc>
      </w:tr>
      <w:tr w:rsidR="00DC46BA">
        <w:trPr>
          <w:trHeight w:val="42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u w:val="single"/>
              </w:rPr>
            </w:pPr>
          </w:p>
        </w:tc>
        <w:tc>
          <w:tcPr>
            <w:tcW w:w="1400" w:type="dxa"/>
          </w:tcPr>
          <w:p w:rsidR="00DC46BA" w:rsidRDefault="00DC46BA">
            <w:pPr>
              <w:adjustRightInd w:val="0"/>
              <w:spacing w:line="360" w:lineRule="auto"/>
              <w:jc w:val="left"/>
            </w:pP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u w:val="single"/>
              </w:rPr>
            </w:pPr>
          </w:p>
        </w:tc>
        <w:tc>
          <w:tcPr>
            <w:tcW w:w="1400" w:type="dxa"/>
          </w:tcPr>
          <w:p w:rsidR="00DC46BA" w:rsidRDefault="00DC46BA">
            <w:pPr>
              <w:adjustRightInd w:val="0"/>
              <w:spacing w:line="360" w:lineRule="auto"/>
              <w:jc w:val="left"/>
            </w:pPr>
          </w:p>
        </w:tc>
      </w:tr>
      <w:tr w:rsidR="00DC46BA">
        <w:trPr>
          <w:trHeight w:val="48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left"/>
            </w:pP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left"/>
            </w:pP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46123C">
            <w:pPr>
              <w:adjustRightInd w:val="0"/>
              <w:spacing w:line="360" w:lineRule="auto"/>
              <w:jc w:val="left"/>
              <w:rPr>
                <w:rFonts w:ascii="宋体" w:hAnsi="宋体"/>
                <w:szCs w:val="21"/>
              </w:rPr>
            </w:pP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395389">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76F3F">
              <w:rPr>
                <w:rFonts w:ascii="宋体" w:hAnsi="宋体" w:hint="eastAsia"/>
                <w:u w:val="single"/>
              </w:rPr>
              <w:t>1</w:t>
            </w:r>
            <w:r w:rsidR="00395389">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76F3F">
              <w:rPr>
                <w:rFonts w:ascii="宋体" w:hAnsi="宋体" w:hint="eastAsia"/>
                <w:u w:val="single"/>
              </w:rPr>
              <w:t>1</w:t>
            </w:r>
            <w:r w:rsidR="00395389">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3962F9">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E40B7">
              <w:rPr>
                <w:rFonts w:ascii="宋体" w:hAnsi="宋体" w:hint="eastAsia"/>
                <w:u w:val="single"/>
              </w:rPr>
              <w:t>1</w:t>
            </w:r>
            <w:r w:rsidR="003962F9">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E40B7">
              <w:rPr>
                <w:rFonts w:ascii="宋体" w:hAnsi="宋体" w:hint="eastAsia"/>
                <w:u w:val="single"/>
              </w:rPr>
              <w:t>1</w:t>
            </w:r>
            <w:r w:rsidR="003962F9">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3962F9">
              <w:rPr>
                <w:rFonts w:ascii="宋体" w:hAnsi="宋体" w:hint="eastAsia"/>
                <w:u w:val="single"/>
              </w:rPr>
              <w:t>李静</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2F" w:rsidRDefault="00A76D2F">
      <w:r>
        <w:separator/>
      </w:r>
    </w:p>
  </w:endnote>
  <w:endnote w:type="continuationSeparator" w:id="0">
    <w:p w:rsidR="00A76D2F" w:rsidRDefault="00A7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CD0699">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0699">
              <w:rPr>
                <w:b/>
                <w:noProof/>
              </w:rPr>
              <w:t>10</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2F" w:rsidRDefault="00A76D2F">
      <w:r>
        <w:separator/>
      </w:r>
    </w:p>
  </w:footnote>
  <w:footnote w:type="continuationSeparator" w:id="0">
    <w:p w:rsidR="00A76D2F" w:rsidRDefault="00A7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76D2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B6248"/>
    <w:rsid w:val="000C3ED3"/>
    <w:rsid w:val="00105A91"/>
    <w:rsid w:val="00165349"/>
    <w:rsid w:val="0017552D"/>
    <w:rsid w:val="00180E1D"/>
    <w:rsid w:val="0019618A"/>
    <w:rsid w:val="001A2D7F"/>
    <w:rsid w:val="001A7F36"/>
    <w:rsid w:val="001B046E"/>
    <w:rsid w:val="001D4C22"/>
    <w:rsid w:val="002074BA"/>
    <w:rsid w:val="002A61EC"/>
    <w:rsid w:val="002C362E"/>
    <w:rsid w:val="002F73A2"/>
    <w:rsid w:val="00337922"/>
    <w:rsid w:val="00340867"/>
    <w:rsid w:val="00380837"/>
    <w:rsid w:val="00395389"/>
    <w:rsid w:val="003962F9"/>
    <w:rsid w:val="003C32F3"/>
    <w:rsid w:val="00410914"/>
    <w:rsid w:val="00415094"/>
    <w:rsid w:val="00451A33"/>
    <w:rsid w:val="0046123C"/>
    <w:rsid w:val="004D0780"/>
    <w:rsid w:val="004E2167"/>
    <w:rsid w:val="00535804"/>
    <w:rsid w:val="00536930"/>
    <w:rsid w:val="00564E53"/>
    <w:rsid w:val="005803D3"/>
    <w:rsid w:val="005A4EA8"/>
    <w:rsid w:val="005E60A4"/>
    <w:rsid w:val="00644FE2"/>
    <w:rsid w:val="006522FC"/>
    <w:rsid w:val="0067640C"/>
    <w:rsid w:val="006A2397"/>
    <w:rsid w:val="006C013F"/>
    <w:rsid w:val="006E678B"/>
    <w:rsid w:val="00720D57"/>
    <w:rsid w:val="00730EDB"/>
    <w:rsid w:val="00732E96"/>
    <w:rsid w:val="0074378E"/>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76D2F"/>
    <w:rsid w:val="00AF0AAB"/>
    <w:rsid w:val="00B258C1"/>
    <w:rsid w:val="00BA6762"/>
    <w:rsid w:val="00BE40B7"/>
    <w:rsid w:val="00BF597E"/>
    <w:rsid w:val="00C51A36"/>
    <w:rsid w:val="00C55228"/>
    <w:rsid w:val="00C8266A"/>
    <w:rsid w:val="00CD0699"/>
    <w:rsid w:val="00CD6EF1"/>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41</cp:revision>
  <cp:lastPrinted>2019-06-14T02:57:00Z</cp:lastPrinted>
  <dcterms:created xsi:type="dcterms:W3CDTF">2015-06-17T12:51:00Z</dcterms:created>
  <dcterms:modified xsi:type="dcterms:W3CDTF">2020-06-16T13:01:00Z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