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000000"/>
          <w:sz w:val="36"/>
          <w:szCs w:val="36"/>
        </w:rPr>
        <w:t>管理体系审核记录表</w:t>
      </w:r>
    </w:p>
    <w:tbl>
      <w:tblPr>
        <w:tblStyle w:val="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829"/>
        <w:gridCol w:w="1199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0"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279"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4037" w:type="pct"/>
            <w:noWrap w:val="0"/>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 xml:space="preserve">   主管领导：</w:t>
            </w:r>
            <w:r>
              <w:rPr>
                <w:rFonts w:hint="eastAsia" w:asciiTheme="minorEastAsia" w:hAnsiTheme="minorEastAsia" w:eastAsiaTheme="minorEastAsia" w:cstheme="minorEastAsia"/>
                <w:color w:val="auto"/>
                <w:sz w:val="21"/>
                <w:szCs w:val="21"/>
                <w:lang w:val="en-US" w:eastAsia="zh-CN"/>
              </w:rPr>
              <w:t>李延波</w:t>
            </w:r>
            <w:r>
              <w:rPr>
                <w:rFonts w:hint="eastAsia" w:asciiTheme="minorEastAsia" w:hAnsiTheme="minorEastAsia" w:eastAsiaTheme="minorEastAsia" w:cstheme="minorEastAsia"/>
                <w:color w:val="auto"/>
                <w:sz w:val="21"/>
                <w:szCs w:val="21"/>
              </w:rPr>
              <w:t xml:space="preserve">      陪同人员：</w:t>
            </w:r>
            <w:r>
              <w:rPr>
                <w:rFonts w:hint="eastAsia" w:asciiTheme="minorEastAsia" w:hAnsiTheme="minorEastAsia" w:eastAsiaTheme="minorEastAsia" w:cstheme="minorEastAsia"/>
                <w:color w:val="auto"/>
                <w:sz w:val="21"/>
                <w:szCs w:val="21"/>
                <w:lang w:val="en-US" w:eastAsia="zh-CN"/>
              </w:rPr>
              <w:t>郭帅</w:t>
            </w:r>
          </w:p>
        </w:tc>
        <w:tc>
          <w:tcPr>
            <w:tcW w:w="173"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27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4037" w:type="pct"/>
            <w:noWrap w:val="0"/>
            <w:vAlign w:val="center"/>
          </w:tcPr>
          <w:p>
            <w:pPr>
              <w:spacing w:before="1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eastAsia="zh-CN"/>
              </w:rPr>
              <w:t>王志慧</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eastAsia="zh-CN"/>
              </w:rPr>
              <w:t>2020年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18-19</w:t>
            </w:r>
            <w:r>
              <w:rPr>
                <w:rFonts w:hint="eastAsia" w:asciiTheme="minorEastAsia" w:hAnsiTheme="minorEastAsia" w:eastAsiaTheme="minorEastAsia" w:cstheme="minorEastAsia"/>
                <w:color w:val="auto"/>
                <w:sz w:val="21"/>
                <w:szCs w:val="21"/>
                <w:lang w:eastAsia="zh-CN"/>
              </w:rPr>
              <w:t>日</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0" w:type="pct"/>
            <w:vMerge w:val="continue"/>
            <w:noWrap w:val="0"/>
            <w:vAlign w:val="center"/>
          </w:tcPr>
          <w:p>
            <w:pPr>
              <w:rPr>
                <w:rFonts w:hint="eastAsia" w:asciiTheme="minorEastAsia" w:hAnsiTheme="minorEastAsia" w:eastAsiaTheme="minorEastAsia" w:cstheme="minorEastAsia"/>
                <w:color w:val="auto"/>
                <w:sz w:val="21"/>
                <w:szCs w:val="21"/>
              </w:rPr>
            </w:pPr>
          </w:p>
        </w:tc>
        <w:tc>
          <w:tcPr>
            <w:tcW w:w="279" w:type="pct"/>
            <w:vMerge w:val="continue"/>
            <w:noWrap w:val="0"/>
            <w:vAlign w:val="center"/>
          </w:tcPr>
          <w:p>
            <w:pPr>
              <w:rPr>
                <w:rFonts w:hint="eastAsia" w:asciiTheme="minorEastAsia" w:hAnsiTheme="minorEastAsia" w:eastAsiaTheme="minorEastAsia" w:cstheme="minorEastAsia"/>
                <w:color w:val="auto"/>
                <w:sz w:val="21"/>
                <w:szCs w:val="21"/>
              </w:rPr>
            </w:pPr>
          </w:p>
        </w:tc>
        <w:tc>
          <w:tcPr>
            <w:tcW w:w="4037" w:type="pct"/>
            <w:noWrap w:val="0"/>
            <w:vAlign w:val="center"/>
          </w:tcPr>
          <w:p>
            <w:pPr>
              <w:spacing w:line="24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p>
          <w:p>
            <w:pPr>
              <w:snapToGrid w:val="0"/>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5.3/6.1/6.2/7.4/8.1</w:t>
            </w:r>
            <w:r>
              <w:rPr>
                <w:rFonts w:hint="eastAsia" w:asciiTheme="minorEastAsia" w:hAnsiTheme="minorEastAsia" w:eastAsiaTheme="minorEastAsia" w:cstheme="minorEastAsia"/>
                <w:color w:val="auto"/>
                <w:sz w:val="21"/>
                <w:szCs w:val="21"/>
                <w:lang w:val="en-US" w:eastAsia="zh-CN"/>
              </w:rPr>
              <w:t>/8.2/8.4/</w:t>
            </w:r>
            <w:r>
              <w:rPr>
                <w:rFonts w:hint="eastAsia" w:asciiTheme="minorEastAsia" w:hAnsiTheme="minorEastAsia" w:eastAsiaTheme="minorEastAsia" w:cstheme="minorEastAsia"/>
                <w:color w:val="auto"/>
                <w:sz w:val="21"/>
                <w:szCs w:val="21"/>
              </w:rPr>
              <w:t>8.5/8.6/8.7/9.1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/9.1.3/10.2</w:t>
            </w:r>
          </w:p>
          <w:p>
            <w:pPr>
              <w:snapToGrid w:val="0"/>
              <w:spacing w:line="26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5.3/6.1/</w:t>
            </w:r>
            <w:r>
              <w:rPr>
                <w:rFonts w:hint="eastAsia" w:asciiTheme="minorEastAsia" w:hAnsiTheme="minorEastAsia" w:eastAsiaTheme="minorEastAsia" w:cstheme="minorEastAsia"/>
                <w:color w:val="auto"/>
                <w:sz w:val="21"/>
                <w:szCs w:val="21"/>
                <w:lang w:val="en-US" w:eastAsia="zh-CN"/>
              </w:rPr>
              <w:t>6.2/</w:t>
            </w:r>
            <w:r>
              <w:rPr>
                <w:rFonts w:hint="eastAsia" w:asciiTheme="minorEastAsia" w:hAnsiTheme="minorEastAsia" w:eastAsiaTheme="minorEastAsia" w:cstheme="minorEastAsia"/>
                <w:color w:val="auto"/>
                <w:sz w:val="21"/>
                <w:szCs w:val="21"/>
              </w:rPr>
              <w:t>7.5/8.1/8.2/9.1/10.2</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：5.3/5.4/6.1/</w:t>
            </w:r>
            <w:r>
              <w:rPr>
                <w:rFonts w:hint="eastAsia" w:asciiTheme="minorEastAsia" w:hAnsiTheme="minorEastAsia" w:eastAsiaTheme="minorEastAsia" w:cstheme="minorEastAsia"/>
                <w:color w:val="auto"/>
                <w:sz w:val="21"/>
                <w:szCs w:val="21"/>
                <w:lang w:val="en-US" w:eastAsia="zh-CN"/>
              </w:rPr>
              <w:t>6.2/</w:t>
            </w:r>
            <w:r>
              <w:rPr>
                <w:rFonts w:hint="eastAsia" w:asciiTheme="minorEastAsia" w:hAnsiTheme="minorEastAsia" w:eastAsiaTheme="minorEastAsia" w:cstheme="minorEastAsia"/>
                <w:color w:val="auto"/>
                <w:sz w:val="21"/>
                <w:szCs w:val="21"/>
              </w:rPr>
              <w:t>7.5/8.1/8</w:t>
            </w:r>
          </w:p>
        </w:tc>
        <w:tc>
          <w:tcPr>
            <w:tcW w:w="173"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组织的岗位、职责权限</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4037"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 xml:space="preserve"> 负责人：</w:t>
            </w:r>
            <w:r>
              <w:rPr>
                <w:rFonts w:hint="eastAsia" w:asciiTheme="minorEastAsia" w:hAnsiTheme="minorEastAsia" w:eastAsiaTheme="minorEastAsia" w:cstheme="minorEastAsia"/>
                <w:color w:val="auto"/>
                <w:sz w:val="21"/>
                <w:szCs w:val="21"/>
                <w:lang w:val="en-US" w:eastAsia="zh-CN"/>
              </w:rPr>
              <w:t xml:space="preserve">李延波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主要负责：</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销售过程的控制；产品要求确定；合同评审；顾客沟通；顾客满意度调查；环境因素危险源的识别与控制、公司目标方案的执行、应急准备和响应等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负责人对本部门的职责和权限以及工作流程清楚、明确完成本部门的目标指标。能较好回答部门职责，对工作要求明确。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应对风险和机会的策划</w:t>
            </w:r>
          </w:p>
        </w:tc>
        <w:tc>
          <w:tcPr>
            <w:tcW w:w="27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6.1</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E</w:t>
            </w:r>
            <w:r>
              <w:rPr>
                <w:rFonts w:hint="eastAsia" w:asciiTheme="minorEastAsia" w:hAnsiTheme="minorEastAsia" w:eastAsiaTheme="minorEastAsia" w:cstheme="minorEastAsia"/>
                <w:color w:val="auto"/>
                <w:sz w:val="21"/>
                <w:szCs w:val="21"/>
                <w:lang w:val="en-US" w:eastAsia="zh-CN"/>
              </w:rPr>
              <w:t>O</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6.1</w:t>
            </w:r>
            <w:r>
              <w:rPr>
                <w:rFonts w:hint="eastAsia" w:asciiTheme="minorEastAsia" w:hAnsiTheme="minorEastAsia" w:eastAsiaTheme="minorEastAsia" w:cstheme="minorEastAsia"/>
                <w:color w:val="auto"/>
                <w:sz w:val="21"/>
                <w:szCs w:val="21"/>
                <w:lang w:val="en-US" w:eastAsia="zh-CN"/>
              </w:rPr>
              <w:t>.1</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查见《风险与机遇控制计划》，确定了组织需应对的风险和机遇。如：客户对</w:t>
            </w:r>
            <w:r>
              <w:rPr>
                <w:rFonts w:hint="eastAsia" w:asciiTheme="minorEastAsia" w:hAnsiTheme="minorEastAsia" w:eastAsiaTheme="minorEastAsia" w:cstheme="minorEastAsia"/>
                <w:color w:val="auto"/>
                <w:sz w:val="21"/>
                <w:szCs w:val="21"/>
                <w:lang w:val="en-US" w:eastAsia="zh-CN"/>
              </w:rPr>
              <w:t>工作效率</w:t>
            </w:r>
            <w:r>
              <w:rPr>
                <w:rFonts w:hint="eastAsia" w:asciiTheme="minorEastAsia" w:hAnsiTheme="minorEastAsia" w:eastAsiaTheme="minorEastAsia" w:cstheme="minorEastAsia"/>
                <w:color w:val="auto"/>
                <w:sz w:val="21"/>
                <w:szCs w:val="21"/>
              </w:rPr>
              <w:t>提高，对供应周期和售后服务的期望值提高；机遇：市场竞争加剧，公司管理水平提升，带来潜在的发展机遇；等级：高；应对措施：</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加强与客户的沟通，及时处理客户需求和意见等；执行部门：</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 xml:space="preserve"> 。组织在确定这些风险和机遇时，考虑了员工岗位技能、</w:t>
            </w:r>
            <w:r>
              <w:rPr>
                <w:rFonts w:hint="eastAsia" w:asciiTheme="minorEastAsia" w:hAnsiTheme="minorEastAsia" w:eastAsiaTheme="minorEastAsia" w:cstheme="minorEastAsia"/>
                <w:color w:val="auto"/>
                <w:sz w:val="21"/>
                <w:szCs w:val="21"/>
                <w:lang w:val="en-US" w:eastAsia="zh-CN"/>
              </w:rPr>
              <w:t>综合</w:t>
            </w:r>
            <w:r>
              <w:rPr>
                <w:rFonts w:hint="eastAsia" w:asciiTheme="minorEastAsia" w:hAnsiTheme="minorEastAsia" w:eastAsiaTheme="minorEastAsia" w:cstheme="minorEastAsia"/>
                <w:color w:val="auto"/>
                <w:sz w:val="21"/>
                <w:szCs w:val="21"/>
              </w:rPr>
              <w:t>能力、市场需求等内外部因素及合同方（顾客）的相关要求。评审人：</w:t>
            </w:r>
            <w:r>
              <w:rPr>
                <w:rFonts w:hint="eastAsia" w:asciiTheme="minorEastAsia" w:hAnsiTheme="minorEastAsia" w:eastAsiaTheme="minorEastAsia" w:cstheme="minorEastAsia"/>
                <w:color w:val="auto"/>
                <w:sz w:val="21"/>
                <w:szCs w:val="21"/>
                <w:lang w:val="en-US" w:eastAsia="zh-CN"/>
              </w:rPr>
              <w:t xml:space="preserve">李延波  </w:t>
            </w:r>
          </w:p>
          <w:p>
            <w:pP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评审情况均为符合发展要求。措施正在实施中。</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目标和方案</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部门目标：</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1、对合同进行100%有效评审；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2、顾客满意度不低于90%</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、对所有顾客进行环境和职业健康安全告知，对其施加必要地影响；</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•环境目标、指标：废弃物100%分类堆放处置</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管理方案：1.废电池用塑料袋装好，做好标识，交办公室集中回收，统一处理。2.废日光灯放入专用垃圾箱，做好标识，交办公室集中回收，统一处理。3.废硒鼓用塑料袋装好，做好标识，交办公室集中回收，统一处理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•安全目标、指标：火灾事故发生率为0</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措施：强化安全思想教育培训，认真学习安全规程；配备符合要求的安全工器具；电源电线与化学品易燃物分开.....。</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采购部</w:t>
            </w:r>
            <w:r>
              <w:rPr>
                <w:rFonts w:hint="eastAsia" w:asciiTheme="minorEastAsia" w:hAnsiTheme="minorEastAsia" w:eastAsiaTheme="minorEastAsia" w:cstheme="minorEastAsia"/>
                <w:color w:val="auto"/>
                <w:sz w:val="21"/>
                <w:szCs w:val="21"/>
              </w:rPr>
              <w:t>经查已完成。</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环境因素评价和控制措施的确定</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编制了《环境因素识别与评价控制程序》，经查基本符合标准要求。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包括固废废弃、宣传册的废弃、意外火灾、原材料损耗、资源的消耗等。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可以提供《重要环境因素清单》，其中涉及</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rPr>
              <w:t>的重要环境因素：</w:t>
            </w:r>
            <w:r>
              <w:rPr>
                <w:rFonts w:hint="eastAsia" w:asciiTheme="minorEastAsia" w:hAnsiTheme="minorEastAsia" w:eastAsiaTheme="minorEastAsia" w:cstheme="minorEastAsia"/>
                <w:color w:val="auto"/>
                <w:sz w:val="21"/>
                <w:szCs w:val="21"/>
                <w:lang w:val="en-US" w:eastAsia="zh-CN"/>
              </w:rPr>
              <w:t>意外伤害、触电</w:t>
            </w:r>
            <w:r>
              <w:rPr>
                <w:rFonts w:hint="eastAsia" w:asciiTheme="minorEastAsia" w:hAnsiTheme="minorEastAsia" w:eastAsiaTheme="minorEastAsia" w:cstheme="minorEastAsia"/>
                <w:color w:val="auto"/>
                <w:sz w:val="21"/>
                <w:szCs w:val="21"/>
              </w:rPr>
              <w:t>、火灾的发生。评价基本合理。</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危险源辨识、风险评价和控制措施</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6.1.2</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用LEC法对识别的危险源进行评价，本部门不可接受风险：火灾、触电，评价基本准确。</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16" w:type="dxa"/>
            <w:noWrap w:val="0"/>
            <w:vAlign w:val="top"/>
          </w:tcPr>
          <w:p>
            <w:pPr>
              <w:spacing w:line="4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法律法规和其他要求和合规性评价（OHSMS）</w:t>
            </w:r>
          </w:p>
        </w:tc>
        <w:tc>
          <w:tcPr>
            <w:tcW w:w="829"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w:t>
            </w: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sz w:val="21"/>
                <w:szCs w:val="21"/>
              </w:rPr>
            </w:pPr>
          </w:p>
        </w:tc>
        <w:tc>
          <w:tcPr>
            <w:tcW w:w="11990"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环境因素和危险源识别评价与控制程序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环境和职业健康安全法律法规控制程序</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2020年1月，抽查如</w:t>
            </w:r>
            <w:bookmarkStart w:id="1" w:name="_GoBack"/>
            <w:bookmarkEnd w:id="1"/>
            <w:r>
              <w:rPr>
                <w:rFonts w:hint="eastAsia" w:asciiTheme="minorEastAsia" w:hAnsiTheme="minorEastAsia" w:eastAsiaTheme="minorEastAsia" w:cstheme="minorEastAsia"/>
                <w:color w:val="auto"/>
                <w:sz w:val="21"/>
                <w:szCs w:val="21"/>
                <w:lang w:val="en-US" w:eastAsia="zh-CN"/>
              </w:rPr>
              <w:t>下：</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中华人民共和国消防法》、河北省环境保护条例、河北省消防条例、河北省安全生产条例、河北省重大危险源监督管理规定、河北省工伤保险实施办法机关、团体、企业、事业单位消防安全管理规定，控制措施及现状：已制定安全防火制度及应急预案。配备消防器材。重点场所标识禁火。定期巡查，消除隐患。每年进行一次消防演练</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2、中华人民共和国劳动法、中华人民共和国劳动合同法、中华人民共和国劳动合同法实施条例、</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中华人民共和国劳动保障监察条例、中华人民共和国未成年人保护法、工伤保险条例、职工带薪年休假条例、中华人民共和国妇女权益保障法，</w:t>
            </w:r>
            <w:r>
              <w:rPr>
                <w:rFonts w:hint="eastAsia" w:asciiTheme="minorEastAsia" w:hAnsiTheme="minorEastAsia" w:eastAsiaTheme="minorEastAsia" w:cstheme="minorEastAsia"/>
                <w:color w:val="auto"/>
                <w:sz w:val="21"/>
                <w:szCs w:val="21"/>
                <w:lang w:eastAsia="zh-CN"/>
              </w:rPr>
              <w:t>控制措施及现状：</w:t>
            </w:r>
            <w:r>
              <w:rPr>
                <w:rFonts w:hint="eastAsia" w:asciiTheme="minorEastAsia" w:hAnsiTheme="minorEastAsia" w:eastAsiaTheme="minorEastAsia" w:cstheme="minorEastAsia"/>
                <w:color w:val="auto"/>
                <w:sz w:val="21"/>
                <w:szCs w:val="21"/>
                <w:lang w:val="en-US" w:eastAsia="zh-CN"/>
              </w:rPr>
              <w:t xml:space="preserve"> 严格按法律法规执行，目前未有违规现象。</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结果：</w:t>
            </w:r>
            <w:r>
              <w:rPr>
                <w:rFonts w:hint="eastAsia" w:asciiTheme="minorEastAsia" w:hAnsiTheme="minorEastAsia" w:eastAsiaTheme="minorEastAsia" w:cstheme="minorEastAsia"/>
                <w:color w:val="auto"/>
                <w:sz w:val="21"/>
                <w:szCs w:val="21"/>
                <w:lang w:val="en-US" w:eastAsia="zh-CN"/>
              </w:rPr>
              <w:t>基本符合</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16" w:type="dxa"/>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资源</w:t>
            </w:r>
          </w:p>
        </w:tc>
        <w:tc>
          <w:tcPr>
            <w:tcW w:w="829" w:type="dxa"/>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E/O：7.1</w:t>
            </w:r>
          </w:p>
        </w:tc>
        <w:tc>
          <w:tcPr>
            <w:tcW w:w="11990" w:type="dxa"/>
            <w:noWrap w:val="0"/>
            <w:vAlign w:val="center"/>
          </w:tcPr>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公司为确保管理体系的有效运行和持续改进，确保满足顾客要求，增强顾客满意，为管理体系的有效运行和持续改进提供充</w:t>
            </w:r>
            <w:r>
              <w:rPr>
                <w:rFonts w:hint="eastAsia" w:asciiTheme="minorEastAsia" w:hAnsiTheme="minorEastAsia" w:eastAsiaTheme="minorEastAsia" w:cstheme="minorEastAsia"/>
                <w:color w:val="auto"/>
                <w:sz w:val="21"/>
                <w:szCs w:val="21"/>
              </w:rPr>
              <w:t>分的资源，包括人力资源、基础设施和工作环境；还包括为增强顾客满意所必需的资源。现有员工、办公生产销售场所、办公生产销售设备等基础设施以及必要的工作环境，配备较为充分。</w:t>
            </w:r>
          </w:p>
          <w:p>
            <w:pPr>
              <w:spacing w:line="240" w:lineRule="exact"/>
              <w:ind w:firstLine="420" w:firstLineChars="200"/>
              <w:rPr>
                <w:rFonts w:hint="eastAsia"/>
                <w:sz w:val="21"/>
                <w:szCs w:val="21"/>
                <w:lang w:val="en-US" w:eastAsia="zh-CN"/>
              </w:rPr>
            </w:pPr>
            <w:r>
              <w:rPr>
                <w:rFonts w:hint="eastAsia" w:cs="宋体"/>
              </w:rPr>
              <w:t>查设备台帐，主要是办公设备，包括：</w:t>
            </w:r>
            <w:r>
              <w:rPr>
                <w:rFonts w:hint="eastAsia"/>
                <w:sz w:val="21"/>
                <w:szCs w:val="21"/>
                <w:lang w:eastAsia="zh-CN"/>
              </w:rPr>
              <w:t>电脑、电话、</w:t>
            </w:r>
            <w:r>
              <w:rPr>
                <w:rFonts w:hint="eastAsia"/>
                <w:sz w:val="21"/>
                <w:szCs w:val="21"/>
                <w:lang w:val="en-US" w:eastAsia="zh-CN"/>
              </w:rPr>
              <w:t>办公桌椅、展板、文件柜、</w:t>
            </w:r>
            <w:r>
              <w:rPr>
                <w:rFonts w:hint="eastAsia"/>
                <w:sz w:val="21"/>
                <w:szCs w:val="21"/>
                <w:lang w:eastAsia="zh-CN"/>
              </w:rPr>
              <w:t>汽车</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日常维护保养包括对电脑的定期杀毒，车的定期保养、大中小修、定期年检。全部完好。</w:t>
            </w:r>
            <w:r>
              <w:rPr>
                <w:rFonts w:hint="eastAsia"/>
                <w:sz w:val="21"/>
                <w:szCs w:val="21"/>
                <w:lang w:val="en-US" w:eastAsia="zh-CN"/>
              </w:rPr>
              <w:t>库房物品放置基本有秩序；</w:t>
            </w:r>
          </w:p>
          <w:p>
            <w:pPr>
              <w:spacing w:line="400" w:lineRule="exact"/>
              <w:ind w:firstLine="420" w:firstLineChars="200"/>
              <w:rPr>
                <w:rFonts w:hint="eastAsia"/>
                <w:sz w:val="21"/>
                <w:szCs w:val="21"/>
                <w:lang w:val="en-US" w:eastAsia="zh-CN"/>
              </w:rPr>
            </w:pP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总经理主持了今年的管理评审，对方针、目标的适宜性进行了评审，协助管代进行了内审，确保所需资源得到满足。</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福利费用等投入方面。</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查见《劳保用品发放登记表》，按月发放手套、口罩等劳保用品，办公、仓储现场有分类垃圾箱、禁烟标识、灭火器等器材。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查见环保安全财务支出明细。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观察及与领导沟通了解到，公司为确保管理体系的有效运行和持续改进，确保满足顾客要求，增强顾客满意，确定并提供了必要的资源，目前仓库和总经办等资源配备基本能满足要求，机构设置合理。经过管理体系运行证明，现有资源可满足体系和产品的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公司目前的基础设施，能够满足当前管理体系的要求。公司将依据经营发展的需要，会不断补充与增加。</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沟通、参与、协商</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O5.4</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策划</w:t>
            </w:r>
          </w:p>
        </w:tc>
        <w:tc>
          <w:tcPr>
            <w:tcW w:w="27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4037" w:type="pct"/>
            <w:noWrap w:val="0"/>
            <w:vAlign w:val="center"/>
          </w:tcPr>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rPr>
              <w:t>按照与顾客签订的供货合同及公司储运流程执行销售工作。并严格遵照执行公司制定的</w:t>
            </w:r>
            <w:r>
              <w:rPr>
                <w:rFonts w:hint="eastAsia" w:ascii="宋体" w:hAnsi="宋体" w:cs="宋体"/>
                <w:color w:val="auto"/>
                <w:sz w:val="21"/>
                <w:szCs w:val="21"/>
                <w:lang w:eastAsia="zh-CN"/>
              </w:rPr>
              <w:t>：</w:t>
            </w:r>
            <w:r>
              <w:rPr>
                <w:rFonts w:hint="eastAsia" w:ascii="宋体" w:hAnsi="宋体"/>
                <w:color w:val="000000"/>
                <w:szCs w:val="21"/>
              </w:rPr>
              <w:t xml:space="preserve">与顾客有关的过程控制程序  </w:t>
            </w:r>
            <w:r>
              <w:rPr>
                <w:rFonts w:hint="eastAsia" w:ascii="宋体" w:hAnsi="宋体"/>
                <w:color w:val="000000"/>
                <w:szCs w:val="21"/>
                <w:lang w:eastAsia="zh-CN"/>
              </w:rPr>
              <w:t>HR</w:t>
            </w:r>
            <w:r>
              <w:rPr>
                <w:rFonts w:hint="eastAsia" w:ascii="宋体" w:hAnsi="宋体"/>
                <w:color w:val="000000"/>
                <w:szCs w:val="21"/>
              </w:rPr>
              <w:t>/CX-11-2019</w:t>
            </w:r>
            <w:r>
              <w:rPr>
                <w:rFonts w:hint="eastAsia" w:ascii="宋体" w:hAnsi="宋体"/>
                <w:color w:val="000000"/>
                <w:szCs w:val="21"/>
                <w:lang w:eastAsia="zh-CN"/>
              </w:rPr>
              <w:t>、</w:t>
            </w:r>
            <w:r>
              <w:rPr>
                <w:rFonts w:hint="eastAsia" w:ascii="宋体" w:hAnsi="宋体"/>
                <w:color w:val="000000"/>
                <w:szCs w:val="21"/>
              </w:rPr>
              <w:t xml:space="preserve">采购控制程序  </w:t>
            </w:r>
            <w:r>
              <w:rPr>
                <w:rFonts w:hint="eastAsia" w:ascii="宋体" w:hAnsi="宋体"/>
                <w:color w:val="000000"/>
                <w:szCs w:val="21"/>
                <w:lang w:eastAsia="zh-CN"/>
              </w:rPr>
              <w:t>HR</w:t>
            </w:r>
            <w:r>
              <w:rPr>
                <w:rFonts w:hint="eastAsia" w:ascii="宋体" w:hAnsi="宋体"/>
                <w:color w:val="000000"/>
                <w:szCs w:val="21"/>
              </w:rPr>
              <w:t>/CX-12-2019</w:t>
            </w:r>
            <w:r>
              <w:rPr>
                <w:rFonts w:hint="eastAsia" w:ascii="宋体" w:hAnsi="宋体"/>
                <w:color w:val="000000"/>
                <w:szCs w:val="21"/>
                <w:lang w:eastAsia="zh-CN"/>
              </w:rPr>
              <w:t>、</w:t>
            </w:r>
            <w:r>
              <w:rPr>
                <w:rFonts w:hint="eastAsia" w:ascii="宋体" w:hAnsi="宋体"/>
                <w:color w:val="000000"/>
                <w:szCs w:val="21"/>
              </w:rPr>
              <w:t xml:space="preserve">服务过程控制程序  </w:t>
            </w:r>
            <w:r>
              <w:rPr>
                <w:rFonts w:hint="eastAsia" w:ascii="宋体" w:hAnsi="宋体"/>
                <w:color w:val="000000"/>
                <w:szCs w:val="21"/>
                <w:lang w:eastAsia="zh-CN"/>
              </w:rPr>
              <w:t>HR</w:t>
            </w:r>
            <w:r>
              <w:rPr>
                <w:rFonts w:hint="eastAsia" w:ascii="宋体" w:hAnsi="宋体"/>
                <w:color w:val="000000"/>
                <w:szCs w:val="21"/>
              </w:rPr>
              <w:t>/CX-13-2019</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销售员</w:t>
            </w:r>
            <w:r>
              <w:rPr>
                <w:rFonts w:hint="eastAsia" w:ascii="宋体" w:hAnsi="宋体" w:cs="宋体"/>
                <w:color w:val="auto"/>
                <w:sz w:val="21"/>
                <w:szCs w:val="21"/>
              </w:rPr>
              <w:t>服务规范</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eastAsia="zh-CN"/>
              </w:rPr>
              <w:t>“</w:t>
            </w:r>
            <w:r>
              <w:rPr>
                <w:rFonts w:hint="eastAsia" w:ascii="宋体" w:hAnsi="宋体" w:cs="宋体"/>
                <w:color w:val="auto"/>
                <w:sz w:val="21"/>
                <w:szCs w:val="21"/>
              </w:rPr>
              <w:t>仓库保管制度</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等程序和相关制度。</w:t>
            </w:r>
          </w:p>
          <w:p>
            <w:pPr>
              <w:numPr>
                <w:numId w:val="0"/>
              </w:numP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bCs/>
                <w:color w:val="auto"/>
                <w:szCs w:val="21"/>
              </w:rPr>
              <w:t>销售流程</w:t>
            </w:r>
            <w:r>
              <w:rPr>
                <w:rFonts w:hint="eastAsia" w:ascii="宋体" w:hAnsi="宋体" w:eastAsia="宋体" w:cs="宋体"/>
                <w:bCs/>
                <w:color w:val="auto"/>
                <w:szCs w:val="21"/>
              </w:rPr>
              <w:t>：业务洽谈—合同评审—合同签订—供方评价--产品采购—验收—交付—货款结算</w:t>
            </w:r>
          </w:p>
          <w:p>
            <w:pPr>
              <w:pStyle w:val="2"/>
              <w:numPr>
                <w:ilvl w:val="0"/>
                <w:numId w:val="0"/>
              </w:numPr>
              <w:rPr>
                <w:rFonts w:hint="default"/>
                <w:lang w:val="en-US" w:eastAsia="zh-CN"/>
              </w:rPr>
            </w:pPr>
            <w:r>
              <w:rPr>
                <w:rFonts w:hint="eastAsia"/>
                <w:lang w:val="zh-CN" w:eastAsia="zh-CN"/>
              </w:rPr>
              <w:t>需确认过程：服务过程，有确认记录，见</w:t>
            </w:r>
            <w:r>
              <w:rPr>
                <w:rFonts w:hint="eastAsia"/>
                <w:lang w:val="en-US" w:eastAsia="zh-CN"/>
              </w:rPr>
              <w:t>Q8.5.1</w:t>
            </w:r>
          </w:p>
          <w:p>
            <w:pPr>
              <w:spacing w:line="360" w:lineRule="auto"/>
              <w:ind w:firstLine="420"/>
              <w:rPr>
                <w:rFonts w:hint="eastAsia" w:ascii="宋体" w:hAnsi="宋体" w:cs="宋体"/>
                <w:color w:val="auto"/>
                <w:kern w:val="0"/>
                <w:sz w:val="21"/>
                <w:szCs w:val="21"/>
                <w:lang w:val="zh-CN" w:eastAsia="zh-CN"/>
              </w:rPr>
            </w:pPr>
            <w:r>
              <w:rPr>
                <w:rFonts w:hint="eastAsia" w:ascii="宋体" w:hAnsi="宋体" w:eastAsia="宋体" w:cs="宋体"/>
                <w:color w:val="auto"/>
                <w:kern w:val="0"/>
                <w:sz w:val="21"/>
                <w:szCs w:val="21"/>
                <w:lang w:val="zh-CN" w:eastAsia="zh-CN"/>
              </w:rPr>
              <w:t>储运工作流程图</w:t>
            </w:r>
            <w:r>
              <w:rPr>
                <w:rFonts w:hint="eastAsia" w:ascii="宋体" w:hAnsi="宋体" w:cs="宋体"/>
                <w:color w:val="auto"/>
                <w:kern w:val="0"/>
                <w:sz w:val="21"/>
                <w:szCs w:val="21"/>
                <w:lang w:val="zh-CN" w:eastAsia="zh-CN"/>
              </w:rPr>
              <w:t>：</w:t>
            </w:r>
          </w:p>
          <w:p>
            <w:pPr>
              <w:spacing w:line="360" w:lineRule="auto"/>
              <w:rPr>
                <w:rFonts w:hint="eastAsia" w:ascii="宋体" w:hAnsi="宋体" w:cs="宋体"/>
                <w:color w:val="auto"/>
                <w:kern w:val="0"/>
                <w:sz w:val="21"/>
                <w:szCs w:val="21"/>
                <w:lang w:val="zh-CN" w:eastAsia="zh-CN"/>
              </w:rPr>
            </w:pPr>
            <w:r>
              <w:rPr>
                <w:color w:val="auto"/>
              </w:rPr>
              <w:drawing>
                <wp:inline distT="0" distB="0" distL="114300" distR="114300">
                  <wp:extent cx="4566920" cy="353060"/>
                  <wp:effectExtent l="0" t="0" r="50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566920" cy="353060"/>
                          </a:xfrm>
                          <a:prstGeom prst="rect">
                            <a:avLst/>
                          </a:prstGeom>
                          <a:noFill/>
                          <a:ln>
                            <a:noFill/>
                          </a:ln>
                        </pic:spPr>
                      </pic:pic>
                    </a:graphicData>
                  </a:graphic>
                </wp:inline>
              </w:drawing>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送货车辆及库房搬运推车等运输工具应时刻处于情况良好状态。</w:t>
            </w:r>
          </w:p>
          <w:p>
            <w:pPr>
              <w:spacing w:line="360" w:lineRule="auto"/>
              <w:ind w:firstLine="420"/>
              <w:rPr>
                <w:rFonts w:hint="eastAsia" w:ascii="宋体" w:hAnsi="宋体" w:cs="宋体"/>
                <w:color w:val="auto"/>
                <w:sz w:val="21"/>
                <w:szCs w:val="21"/>
              </w:rPr>
            </w:pPr>
            <w:r>
              <w:rPr>
                <w:rFonts w:hint="eastAsia" w:ascii="宋体" w:hAnsi="宋体" w:cs="宋体"/>
                <w:color w:val="auto"/>
                <w:sz w:val="21"/>
                <w:szCs w:val="21"/>
                <w:lang w:val="en-US" w:eastAsia="zh-CN"/>
              </w:rPr>
              <w:t>销售员</w:t>
            </w:r>
            <w:r>
              <w:rPr>
                <w:rFonts w:hint="eastAsia" w:ascii="宋体" w:hAnsi="宋体" w:cs="宋体"/>
                <w:color w:val="auto"/>
                <w:sz w:val="21"/>
                <w:szCs w:val="21"/>
              </w:rPr>
              <w:t>送货时，应携带《随货同行客户联》 并在规定时间内和指定地点，到达送货后及时返回相关</w:t>
            </w:r>
            <w:r>
              <w:rPr>
                <w:rFonts w:hint="eastAsia" w:ascii="宋体" w:hAnsi="宋体" w:cs="宋体"/>
                <w:color w:val="auto"/>
                <w:sz w:val="21"/>
                <w:szCs w:val="21"/>
                <w:lang w:eastAsia="zh-CN"/>
              </w:rPr>
              <w:t>销售部</w:t>
            </w:r>
            <w:r>
              <w:rPr>
                <w:rFonts w:hint="eastAsia" w:ascii="宋体" w:hAnsi="宋体" w:cs="宋体"/>
                <w:color w:val="auto"/>
                <w:sz w:val="21"/>
                <w:szCs w:val="21"/>
              </w:rPr>
              <w:t>门。</w:t>
            </w:r>
          </w:p>
          <w:p>
            <w:pPr>
              <w:spacing w:line="360" w:lineRule="auto"/>
              <w:rPr>
                <w:rFonts w:hint="eastAsia" w:asciiTheme="minorEastAsia" w:hAnsiTheme="minorEastAsia" w:eastAsiaTheme="minorEastAsia" w:cstheme="minorEastAsia"/>
                <w:color w:val="FF0000"/>
                <w:sz w:val="21"/>
                <w:szCs w:val="21"/>
                <w:lang w:val="en-US" w:eastAsia="zh-CN"/>
              </w:rPr>
            </w:pPr>
            <w:r>
              <w:rPr>
                <w:rFonts w:hint="eastAsia" w:ascii="宋体" w:hAnsi="宋体" w:cs="宋体"/>
                <w:color w:val="auto"/>
                <w:sz w:val="21"/>
                <w:szCs w:val="21"/>
                <w:lang w:val="en-US" w:eastAsia="zh-CN"/>
              </w:rPr>
              <w:t>查到</w:t>
            </w:r>
            <w:r>
              <w:rPr>
                <w:rFonts w:hint="eastAsia" w:ascii="宋体" w:hAnsi="宋体" w:cs="宋体"/>
                <w:color w:val="auto"/>
                <w:sz w:val="21"/>
                <w:szCs w:val="21"/>
              </w:rPr>
              <w:t>制定了销售计划；经确认</w:t>
            </w:r>
            <w:r>
              <w:rPr>
                <w:rFonts w:hint="eastAsia" w:ascii="宋体" w:hAnsi="宋体" w:cs="宋体"/>
                <w:color w:val="auto"/>
                <w:sz w:val="21"/>
                <w:szCs w:val="21"/>
                <w:lang w:eastAsia="zh-CN"/>
              </w:rPr>
              <w:t>：销售</w:t>
            </w:r>
            <w:r>
              <w:rPr>
                <w:rFonts w:hint="eastAsia" w:ascii="宋体" w:hAnsi="宋体" w:cs="宋体"/>
                <w:color w:val="auto"/>
                <w:sz w:val="21"/>
                <w:szCs w:val="21"/>
              </w:rPr>
              <w:t>实现过程没有外包过程</w:t>
            </w:r>
            <w:r>
              <w:rPr>
                <w:rFonts w:hint="eastAsia" w:ascii="宋体" w:hAnsi="宋体" w:cs="宋体"/>
                <w:color w:val="auto"/>
                <w:sz w:val="21"/>
                <w:szCs w:val="21"/>
                <w:lang w:eastAsia="zh-CN"/>
              </w:rPr>
              <w:t>。</w:t>
            </w:r>
          </w:p>
        </w:tc>
        <w:tc>
          <w:tcPr>
            <w:tcW w:w="173" w:type="pct"/>
            <w:noWrap w:val="0"/>
            <w:vAlign w:val="top"/>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8.2.1</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与产品和服务要求有关的要求确定</w:t>
            </w:r>
          </w:p>
        </w:tc>
        <w:tc>
          <w:tcPr>
            <w:tcW w:w="279" w:type="pct"/>
            <w:noWrap w:val="0"/>
            <w:vAlign w:val="center"/>
          </w:tcPr>
          <w:p>
            <w:pPr>
              <w:tabs>
                <w:tab w:val="left" w:pos="341"/>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eastAsia="zh-CN"/>
              </w:rPr>
              <w:tab/>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8.2.2</w:t>
            </w:r>
          </w:p>
        </w:tc>
        <w:tc>
          <w:tcPr>
            <w:tcW w:w="4037"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该公司主要</w:t>
            </w:r>
            <w:r>
              <w:rPr>
                <w:rFonts w:hint="eastAsia" w:asciiTheme="minorEastAsia" w:hAnsiTheme="minorEastAsia" w:eastAsiaTheme="minorEastAsia" w:cstheme="minorEastAsia"/>
                <w:color w:val="auto"/>
                <w:sz w:val="21"/>
                <w:szCs w:val="21"/>
                <w:lang w:eastAsia="zh-CN"/>
              </w:rPr>
              <w:t>涉及：</w:t>
            </w:r>
          </w:p>
          <w:p>
            <w:pPr>
              <w:rPr>
                <w:color w:val="auto"/>
                <w:sz w:val="21"/>
                <w:szCs w:val="21"/>
              </w:rPr>
            </w:pPr>
            <w:bookmarkStart w:id="0" w:name="审核范围"/>
            <w:r>
              <w:rPr>
                <w:color w:val="auto"/>
                <w:sz w:val="21"/>
                <w:szCs w:val="21"/>
              </w:rPr>
              <w:t>Q：建材（不含砂石料）、五金产品、电器设备、橡胶制品、土工布、灯具及体育用品的销售</w:t>
            </w:r>
          </w:p>
          <w:p>
            <w:pPr>
              <w:rPr>
                <w:color w:val="auto"/>
                <w:sz w:val="21"/>
                <w:szCs w:val="21"/>
              </w:rPr>
            </w:pPr>
            <w:r>
              <w:rPr>
                <w:color w:val="auto"/>
                <w:sz w:val="21"/>
                <w:szCs w:val="21"/>
              </w:rPr>
              <w:t>E：建材（不含砂石料）、五金产品、电器设备、橡胶制品、土工布、灯具及体育用品的销售及相关环境管理活动</w:t>
            </w:r>
          </w:p>
          <w:p>
            <w:pPr>
              <w:pStyle w:val="2"/>
              <w:rPr>
                <w:rFonts w:hint="eastAsia" w:asciiTheme="minorEastAsia" w:hAnsiTheme="minorEastAsia" w:eastAsiaTheme="minorEastAsia" w:cstheme="minorEastAsia"/>
                <w:color w:val="auto"/>
                <w:sz w:val="21"/>
                <w:szCs w:val="21"/>
                <w:lang w:eastAsia="zh-CN"/>
              </w:rPr>
            </w:pPr>
            <w:r>
              <w:rPr>
                <w:color w:val="auto"/>
                <w:sz w:val="21"/>
                <w:szCs w:val="21"/>
              </w:rPr>
              <w:t>O：建材（不含砂石料）、五金产品、电器设备、橡胶制品、土工布、灯具及体育用品的销售及相关职业健康安全管理活动</w:t>
            </w:r>
            <w:bookmarkEnd w:id="0"/>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该公司主要依据合同法、国家法律法规、</w:t>
            </w:r>
            <w:r>
              <w:rPr>
                <w:rFonts w:hint="eastAsia" w:asciiTheme="minorEastAsia" w:hAnsiTheme="minorEastAsia" w:eastAsiaTheme="minorEastAsia" w:cstheme="minorEastAsia"/>
                <w:color w:val="auto"/>
                <w:sz w:val="21"/>
                <w:szCs w:val="21"/>
                <w:lang w:eastAsia="zh-CN"/>
              </w:rPr>
              <w:t>环境保护法、环境质量标准等</w:t>
            </w:r>
            <w:r>
              <w:rPr>
                <w:rFonts w:hint="eastAsia" w:asciiTheme="minorEastAsia" w:hAnsiTheme="minorEastAsia" w:eastAsiaTheme="minorEastAsia" w:cstheme="minorEastAsia"/>
                <w:color w:val="auto"/>
                <w:sz w:val="21"/>
                <w:szCs w:val="21"/>
              </w:rPr>
              <w:t>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w:t>
            </w:r>
            <w:r>
              <w:rPr>
                <w:rFonts w:hint="eastAsia" w:asciiTheme="minorEastAsia" w:hAnsiTheme="minorEastAsia" w:eastAsiaTheme="minorEastAsia" w:cstheme="minorEastAsia"/>
                <w:color w:val="auto"/>
                <w:sz w:val="21"/>
                <w:szCs w:val="21"/>
                <w:lang w:eastAsia="zh-CN"/>
              </w:rPr>
              <w:t>地方环保条例</w:t>
            </w:r>
            <w:r>
              <w:rPr>
                <w:rFonts w:hint="eastAsia" w:asciiTheme="minorEastAsia" w:hAnsiTheme="minorEastAsia" w:eastAsiaTheme="minorEastAsia" w:cstheme="minorEastAsia"/>
                <w:color w:val="auto"/>
                <w:sz w:val="21"/>
                <w:szCs w:val="21"/>
              </w:rPr>
              <w:t>等相关法律法规，将其中的相关要求作为与产品有关要求的补充。</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该公司目前在服务提供过程中没有附加要求。</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与产品和服务要求有关的要求评审</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8.2.3</w:t>
            </w:r>
          </w:p>
        </w:tc>
        <w:tc>
          <w:tcPr>
            <w:tcW w:w="4037" w:type="pct"/>
            <w:noWrap w:val="0"/>
            <w:vAlign w:val="center"/>
          </w:tcPr>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1）公司首先在合同中明确了顾客对技术服务的质量要求及技术标准、价格、交货方式、验收方式、货款结算方式等明示要求。</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2）确定了技术服务的法律法规要求（技术服务标准等要求）、售后服务等。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3）该公司与产品有关要求主要在合同中体现，在合同签订之前，由总经理组织各相关部门以会议或会签的方式进行评审。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见《合同台帐》，内容包括：序号、顾客名称、合同编号、项目名称、规格型号、评审日期、签定日期、履行情况。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抽查销售合同情况</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抽1：</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中交一航局第三工程有限公司  三公司长兴岛</w:t>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产品名称：遇水膨胀止水带、遇水膨胀止水条、土工布、接地辅材等。 </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合同签订时间：2019年</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日。合同评审时间：2019年</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日</w:t>
            </w:r>
          </w:p>
          <w:p>
            <w:pPr>
              <w:spacing w:line="360" w:lineRule="exact"/>
              <w:rPr>
                <w:rFonts w:hint="eastAsia" w:asciiTheme="minorEastAsia" w:hAnsiTheme="minorEastAsia" w:eastAsiaTheme="minorEastAsia" w:cstheme="minorEastAsia"/>
                <w:color w:val="auto"/>
                <w:sz w:val="21"/>
                <w:szCs w:val="21"/>
              </w:rPr>
            </w:pP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抽2：</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河南海润观宇贸易有限公司</w:t>
            </w:r>
            <w:r>
              <w:rPr>
                <w:rFonts w:hint="eastAsia" w:asciiTheme="minorEastAsia" w:hAnsiTheme="minorEastAsia" w:eastAsiaTheme="minorEastAsia" w:cstheme="minorEastAsia"/>
                <w:color w:val="auto"/>
                <w:sz w:val="21"/>
                <w:szCs w:val="21"/>
              </w:rPr>
              <w:t xml:space="preserve"> </w:t>
            </w:r>
          </w:p>
          <w:p>
            <w:pPr>
              <w:tabs>
                <w:tab w:val="left" w:pos="1679"/>
              </w:tabs>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产品名称：玻璃钢、铝扣板、消防指示牌、镀锌桥架、接地镀锌扁铁、接地铜线、铜鼻子、接地辅材等。 </w:t>
            </w:r>
            <w:r>
              <w:rPr>
                <w:rFonts w:hint="eastAsia" w:asciiTheme="minorEastAsia" w:hAnsiTheme="minorEastAsia" w:eastAsiaTheme="minorEastAsia" w:cstheme="minorEastAsia"/>
                <w:color w:val="auto"/>
                <w:sz w:val="21"/>
                <w:szCs w:val="21"/>
              </w:rPr>
              <w:t xml:space="preserve"> </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日</w:t>
            </w:r>
          </w:p>
          <w:p>
            <w:pPr>
              <w:pStyle w:val="2"/>
              <w:tabs>
                <w:tab w:val="left" w:pos="3149"/>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ab/>
            </w:r>
          </w:p>
          <w:p>
            <w:pPr>
              <w:spacing w:line="36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抽</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 xml:space="preserve">海南坤晔建设工程有限公司    </w:t>
            </w:r>
          </w:p>
          <w:p>
            <w:pPr>
              <w:tabs>
                <w:tab w:val="left" w:pos="1679"/>
              </w:tabs>
              <w:rPr>
                <w:rFonts w:hint="eastAsia"/>
                <w:color w:val="auto"/>
                <w:lang w:val="en-US" w:eastAsia="zh-CN"/>
              </w:rPr>
            </w:pPr>
            <w:r>
              <w:rPr>
                <w:rFonts w:hint="eastAsia" w:asciiTheme="minorEastAsia" w:hAnsiTheme="minorEastAsia" w:eastAsiaTheme="minorEastAsia" w:cstheme="minorEastAsia"/>
                <w:color w:val="auto"/>
                <w:sz w:val="21"/>
                <w:szCs w:val="21"/>
                <w:lang w:val="en-US" w:eastAsia="zh-CN"/>
              </w:rPr>
              <w:t xml:space="preserve">产品名称：产品名称：铝扣板、天花收边材料、静电地板、LED面板灯、消防指示牌、镀锌桥架、接地镀锌扁铁、接地铜线、铜鼻子、接地辅材等。 </w:t>
            </w:r>
            <w:r>
              <w:rPr>
                <w:rFonts w:hint="eastAsia" w:asciiTheme="minorEastAsia" w:hAnsiTheme="minorEastAsia" w:eastAsiaTheme="minorEastAsia" w:cstheme="minorEastAsia"/>
                <w:color w:val="auto"/>
                <w:sz w:val="21"/>
                <w:szCs w:val="21"/>
              </w:rPr>
              <w:t xml:space="preserve"> </w:t>
            </w:r>
          </w:p>
          <w:p>
            <w:pPr>
              <w:spacing w:line="36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合同签订时间：20</w:t>
            </w:r>
            <w:r>
              <w:rPr>
                <w:rFonts w:hint="eastAsia" w:asciiTheme="minorEastAsia" w:hAnsiTheme="minorEastAsia" w:eastAsiaTheme="minorEastAsia" w:cstheme="minorEastAsia"/>
                <w:color w:val="auto"/>
                <w:sz w:val="22"/>
                <w:szCs w:val="22"/>
                <w:lang w:val="en-US" w:eastAsia="zh-CN"/>
              </w:rPr>
              <w:t>20</w:t>
            </w:r>
            <w:r>
              <w:rPr>
                <w:rFonts w:hint="eastAsia" w:asciiTheme="minorEastAsia" w:hAnsiTheme="minorEastAsia" w:eastAsiaTheme="minorEastAsia" w:cstheme="minorEastAsia"/>
                <w:color w:val="auto"/>
                <w:sz w:val="22"/>
                <w:szCs w:val="22"/>
              </w:rPr>
              <w:t>年</w:t>
            </w:r>
            <w:r>
              <w:rPr>
                <w:rFonts w:hint="eastAsia" w:asciiTheme="minorEastAsia" w:hAnsiTheme="minorEastAsia" w:eastAsiaTheme="minorEastAsia" w:cstheme="minorEastAsia"/>
                <w:color w:val="auto"/>
                <w:sz w:val="22"/>
                <w:szCs w:val="22"/>
                <w:lang w:val="en-US" w:eastAsia="zh-CN"/>
              </w:rPr>
              <w:t>4</w:t>
            </w:r>
            <w:r>
              <w:rPr>
                <w:rFonts w:hint="eastAsia" w:asciiTheme="minorEastAsia" w:hAnsiTheme="minorEastAsia" w:eastAsiaTheme="minorEastAsia" w:cstheme="minorEastAsia"/>
                <w:color w:val="auto"/>
                <w:sz w:val="22"/>
                <w:szCs w:val="22"/>
              </w:rPr>
              <w:t>月</w:t>
            </w:r>
            <w:r>
              <w:rPr>
                <w:rFonts w:hint="eastAsia" w:asciiTheme="minorEastAsia" w:hAnsiTheme="minorEastAsia" w:eastAsiaTheme="minorEastAsia" w:cstheme="minorEastAsia"/>
                <w:color w:val="auto"/>
                <w:sz w:val="22"/>
                <w:szCs w:val="22"/>
                <w:lang w:val="en-US" w:eastAsia="zh-CN"/>
              </w:rPr>
              <w:t>8</w:t>
            </w:r>
            <w:r>
              <w:rPr>
                <w:rFonts w:hint="eastAsia" w:asciiTheme="minorEastAsia" w:hAnsiTheme="minorEastAsia" w:eastAsiaTheme="minorEastAsia" w:cstheme="minorEastAsia"/>
                <w:color w:val="auto"/>
                <w:sz w:val="22"/>
                <w:szCs w:val="22"/>
              </w:rPr>
              <w:t>日。合同评审时间：20</w:t>
            </w:r>
            <w:r>
              <w:rPr>
                <w:rFonts w:hint="eastAsia" w:asciiTheme="minorEastAsia" w:hAnsiTheme="minorEastAsia" w:eastAsiaTheme="minorEastAsia" w:cstheme="minorEastAsia"/>
                <w:color w:val="auto"/>
                <w:sz w:val="22"/>
                <w:szCs w:val="22"/>
                <w:lang w:val="en-US" w:eastAsia="zh-CN"/>
              </w:rPr>
              <w:t>20</w:t>
            </w:r>
            <w:r>
              <w:rPr>
                <w:rFonts w:hint="eastAsia" w:asciiTheme="minorEastAsia" w:hAnsiTheme="minorEastAsia" w:eastAsiaTheme="minorEastAsia" w:cstheme="minorEastAsia"/>
                <w:color w:val="auto"/>
                <w:sz w:val="22"/>
                <w:szCs w:val="22"/>
              </w:rPr>
              <w:t>年</w:t>
            </w:r>
            <w:r>
              <w:rPr>
                <w:rFonts w:hint="eastAsia" w:asciiTheme="minorEastAsia" w:hAnsiTheme="minorEastAsia" w:eastAsiaTheme="minorEastAsia" w:cstheme="minorEastAsia"/>
                <w:color w:val="auto"/>
                <w:sz w:val="22"/>
                <w:szCs w:val="22"/>
                <w:lang w:val="en-US" w:eastAsia="zh-CN"/>
              </w:rPr>
              <w:t>4</w:t>
            </w:r>
            <w:r>
              <w:rPr>
                <w:rFonts w:hint="eastAsia" w:asciiTheme="minorEastAsia" w:hAnsiTheme="minorEastAsia" w:eastAsiaTheme="minorEastAsia" w:cstheme="minorEastAsia"/>
                <w:color w:val="auto"/>
                <w:sz w:val="22"/>
                <w:szCs w:val="22"/>
              </w:rPr>
              <w:t>月</w:t>
            </w:r>
            <w:r>
              <w:rPr>
                <w:rFonts w:hint="eastAsia" w:asciiTheme="minorEastAsia" w:hAnsiTheme="minorEastAsia" w:eastAsiaTheme="minorEastAsia" w:cstheme="minorEastAsia"/>
                <w:color w:val="auto"/>
                <w:sz w:val="22"/>
                <w:szCs w:val="22"/>
                <w:lang w:val="en-US" w:eastAsia="zh-CN"/>
              </w:rPr>
              <w:t>7</w:t>
            </w:r>
            <w:r>
              <w:rPr>
                <w:rFonts w:hint="eastAsia" w:asciiTheme="minorEastAsia" w:hAnsiTheme="minorEastAsia" w:eastAsiaTheme="minorEastAsia" w:cstheme="minorEastAsia"/>
                <w:color w:val="auto"/>
                <w:sz w:val="22"/>
                <w:szCs w:val="22"/>
              </w:rPr>
              <w:t>日</w:t>
            </w:r>
          </w:p>
          <w:p>
            <w:pPr>
              <w:pStyle w:val="2"/>
              <w:tabs>
                <w:tab w:val="left" w:pos="6509"/>
              </w:tabs>
              <w:rPr>
                <w:rFonts w:hint="eastAsia"/>
                <w:color w:val="auto"/>
                <w:lang w:eastAsia="zh-CN"/>
              </w:rPr>
            </w:pPr>
            <w:r>
              <w:rPr>
                <w:rFonts w:hint="eastAsia"/>
                <w:color w:val="auto"/>
                <w:lang w:eastAsia="zh-CN"/>
              </w:rPr>
              <w:tab/>
            </w:r>
          </w:p>
          <w:p>
            <w:pPr>
              <w:pStyle w:val="2"/>
              <w:tabs>
                <w:tab w:val="left" w:pos="6509"/>
              </w:tabs>
              <w:rPr>
                <w:rFonts w:hint="eastAsia"/>
                <w:color w:val="auto"/>
                <w:lang w:val="en-US" w:eastAsia="zh-CN"/>
              </w:rPr>
            </w:pPr>
            <w:r>
              <w:rPr>
                <w:rFonts w:hint="eastAsia"/>
                <w:color w:val="auto"/>
                <w:lang w:val="en-US" w:eastAsia="zh-CN"/>
              </w:rPr>
              <w:t xml:space="preserve">抽4：客户 海南金鹿楼宇设备有限公司 </w:t>
            </w:r>
          </w:p>
          <w:p>
            <w:pPr>
              <w:pStyle w:val="2"/>
              <w:tabs>
                <w:tab w:val="left" w:pos="6509"/>
              </w:tabs>
              <w:rPr>
                <w:rFonts w:hint="default"/>
                <w:color w:val="auto"/>
                <w:lang w:val="en-US" w:eastAsia="zh-CN"/>
              </w:rPr>
            </w:pPr>
            <w:r>
              <w:rPr>
                <w:rFonts w:hint="eastAsia"/>
                <w:color w:val="auto"/>
                <w:lang w:val="en-US" w:eastAsia="zh-CN"/>
              </w:rPr>
              <w:t>产品名称：200万像素高速球机、网络硬盘录像机、监视器、监控器、机柜、PVC25线管、电箱等，</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合同签订时间：20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rPr>
              <w:t>日。合同评审时间：20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rPr>
              <w:t>日</w:t>
            </w:r>
          </w:p>
          <w:p>
            <w:pPr>
              <w:spacing w:line="360" w:lineRule="exact"/>
              <w:rPr>
                <w:rFonts w:hint="eastAsia" w:asciiTheme="minorEastAsia" w:hAnsiTheme="minorEastAsia" w:eastAsiaTheme="minorEastAsia" w:cstheme="minorEastAsia"/>
                <w:color w:val="auto"/>
                <w:sz w:val="21"/>
                <w:szCs w:val="21"/>
              </w:rPr>
            </w:pP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ind w:firstLine="420" w:firstLineChars="200"/>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见以上《合同评审</w:t>
            </w:r>
            <w:r>
              <w:rPr>
                <w:rFonts w:hint="eastAsia" w:asciiTheme="minorEastAsia" w:hAnsiTheme="minorEastAsia" w:eastAsiaTheme="minorEastAsia" w:cstheme="minorEastAsia"/>
                <w:color w:val="auto"/>
                <w:sz w:val="21"/>
                <w:szCs w:val="21"/>
                <w:lang w:val="en-US" w:eastAsia="zh-CN"/>
              </w:rPr>
              <w:t>登记</w:t>
            </w:r>
            <w:r>
              <w:rPr>
                <w:rFonts w:hint="eastAsia" w:asciiTheme="minorEastAsia" w:hAnsiTheme="minorEastAsia" w:eastAsiaTheme="minorEastAsia" w:cstheme="minorEastAsia"/>
                <w:color w:val="auto"/>
                <w:sz w:val="21"/>
                <w:szCs w:val="21"/>
              </w:rPr>
              <w:t>表》，评审内容包括  对服务交付方式、交付能力、质量要求等进行了评审，认为可以满足。有总经理签字。同意签订合同。</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8.2.4</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173" w:type="pct"/>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生产和服务提供的控制</w:t>
            </w:r>
          </w:p>
        </w:tc>
        <w:tc>
          <w:tcPr>
            <w:tcW w:w="27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8.5.1</w:t>
            </w:r>
          </w:p>
        </w:tc>
        <w:tc>
          <w:tcPr>
            <w:tcW w:w="4037" w:type="pct"/>
            <w:noWrap w:val="0"/>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《管理手册》中规定了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eastAsia="zh-CN"/>
              </w:rPr>
              <w:t>过程受控条件。得到</w:t>
            </w:r>
            <w:r>
              <w:rPr>
                <w:rFonts w:hint="eastAsia" w:asciiTheme="minorEastAsia" w:hAnsiTheme="minorEastAsia" w:eastAsiaTheme="minorEastAsia" w:cstheme="minorEastAsia"/>
                <w:color w:val="auto"/>
                <w:sz w:val="21"/>
                <w:szCs w:val="21"/>
                <w:lang w:val="en-US" w:eastAsia="zh-CN"/>
              </w:rPr>
              <w:t>工作指标、任务单</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lang w:eastAsia="zh-CN"/>
              </w:rPr>
              <w:t>下达</w:t>
            </w:r>
            <w:r>
              <w:rPr>
                <w:rFonts w:hint="eastAsia" w:asciiTheme="minorEastAsia" w:hAnsiTheme="minorEastAsia" w:eastAsiaTheme="minorEastAsia" w:cstheme="minorEastAsia"/>
                <w:color w:val="auto"/>
                <w:sz w:val="21"/>
                <w:szCs w:val="21"/>
                <w:lang w:val="en-US" w:eastAsia="zh-CN"/>
              </w:rPr>
              <w:t>任务单</w:t>
            </w:r>
            <w:r>
              <w:rPr>
                <w:rFonts w:hint="eastAsia" w:asciiTheme="minorEastAsia" w:hAnsiTheme="minorEastAsia" w:eastAsiaTheme="minorEastAsia" w:cstheme="minorEastAsia"/>
                <w:color w:val="auto"/>
                <w:sz w:val="21"/>
                <w:szCs w:val="21"/>
                <w:lang w:eastAsia="zh-CN"/>
              </w:rPr>
              <w:t>，包括</w:t>
            </w:r>
            <w:r>
              <w:rPr>
                <w:rFonts w:hint="eastAsia" w:asciiTheme="minorEastAsia" w:hAnsiTheme="minorEastAsia" w:eastAsiaTheme="minorEastAsia" w:cstheme="minorEastAsia"/>
                <w:color w:val="auto"/>
                <w:sz w:val="21"/>
                <w:szCs w:val="21"/>
                <w:lang w:val="en-US" w:eastAsia="zh-CN"/>
              </w:rPr>
              <w:t>委托单位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服务内容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完成时限等</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●获得和使用适宜的监视测量资源：对服务质量进行检查、对顾客满意度进行调查，制定对应表格。</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●抽查过程监视和测量情况，提供了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过程记录及检验记录。对各工序等过程的监控记录予以控制。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●使用适宜的设备和过程环境：有台式电脑、复印机、打印机、传真机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展板等办公用品</w:t>
            </w:r>
            <w:r>
              <w:rPr>
                <w:rFonts w:hint="eastAsia" w:asciiTheme="minorEastAsia" w:hAnsiTheme="minorEastAsia" w:eastAsiaTheme="minorEastAsia" w:cstheme="minorEastAsia"/>
                <w:color w:val="auto"/>
                <w:sz w:val="21"/>
                <w:szCs w:val="21"/>
              </w:rPr>
              <w:t>，可以满足工作需要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设备数量保证，维修及时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查见办公现场宽敞整洁，电脑、传真、打印机及网络运行正常。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●指派胜任的人员，包括所要求的资格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见Q7.2记录</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●需要确认的过程：编制了《特殊过程确认准则》，该公司目前经识别确认的特殊过程为</w:t>
            </w:r>
            <w:r>
              <w:rPr>
                <w:rFonts w:hint="eastAsia" w:asciiTheme="minorEastAsia" w:hAnsiTheme="minorEastAsia" w:eastAsiaTheme="minorEastAsia" w:cstheme="minorEastAsia"/>
                <w:color w:val="auto"/>
                <w:sz w:val="21"/>
                <w:szCs w:val="21"/>
                <w:lang w:val="en-US" w:eastAsia="zh-CN"/>
              </w:rPr>
              <w:t>业务洽谈</w:t>
            </w:r>
            <w:r>
              <w:rPr>
                <w:rFonts w:hint="eastAsia" w:asciiTheme="minorEastAsia" w:hAnsiTheme="minorEastAsia" w:eastAsiaTheme="minorEastAsia" w:cstheme="minorEastAsia"/>
                <w:color w:val="auto"/>
                <w:sz w:val="21"/>
                <w:szCs w:val="21"/>
              </w:rPr>
              <w:t>。查见《过程确认记录》，对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过程从工作人员能力、设备能力、工作流程等方面进行了确认评价。确认结论：业务洽谈可以保证质量满足要求。确认人：</w:t>
            </w:r>
            <w:r>
              <w:rPr>
                <w:rFonts w:hint="eastAsia" w:asciiTheme="minorEastAsia" w:hAnsiTheme="minorEastAsia" w:eastAsiaTheme="minorEastAsia" w:cstheme="minorEastAsia"/>
                <w:color w:val="auto"/>
                <w:sz w:val="21"/>
                <w:szCs w:val="21"/>
                <w:lang w:val="en-US" w:eastAsia="zh-CN"/>
              </w:rPr>
              <w:t>李延波  2019.12.15。</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●通过对客户</w:t>
            </w:r>
            <w:r>
              <w:rPr>
                <w:rFonts w:hint="eastAsia" w:asciiTheme="minorEastAsia" w:hAnsiTheme="minorEastAsia" w:eastAsiaTheme="minorEastAsia" w:cstheme="minorEastAsia"/>
                <w:color w:val="auto"/>
                <w:sz w:val="21"/>
                <w:szCs w:val="21"/>
                <w:lang w:val="en-US" w:eastAsia="zh-CN"/>
              </w:rPr>
              <w:t>分类</w:t>
            </w:r>
            <w:r>
              <w:rPr>
                <w:rFonts w:hint="eastAsia" w:asciiTheme="minorEastAsia" w:hAnsiTheme="minorEastAsia" w:eastAsiaTheme="minorEastAsia" w:cstheme="minorEastAsia"/>
                <w:color w:val="auto"/>
                <w:sz w:val="21"/>
                <w:szCs w:val="21"/>
              </w:rPr>
              <w:t>、区域标识，专人负责专</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rPr>
              <w:t>管理，批次归档保存等措施防止人为差错的发生。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服务完成后通知</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确认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通过电话</w:t>
            </w:r>
            <w:r>
              <w:rPr>
                <w:rFonts w:hint="eastAsia" w:asciiTheme="minorEastAsia" w:hAnsiTheme="minorEastAsia" w:eastAsiaTheme="minorEastAsia" w:cstheme="minorEastAsia"/>
                <w:color w:val="auto"/>
                <w:sz w:val="21"/>
                <w:szCs w:val="21"/>
                <w:lang w:val="en-US" w:eastAsia="zh-CN"/>
              </w:rPr>
              <w:t>/网络</w:t>
            </w:r>
            <w:r>
              <w:rPr>
                <w:rFonts w:hint="eastAsia" w:asciiTheme="minorEastAsia" w:hAnsiTheme="minorEastAsia" w:eastAsiaTheme="minorEastAsia" w:cstheme="minorEastAsia"/>
                <w:color w:val="auto"/>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9.1.2审核记录。</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●查见</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电脑、传真、打印机及网络运行正常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库房物品放置基本有秩序。</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top"/>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标识和可追溯性</w:t>
            </w:r>
          </w:p>
          <w:p>
            <w:pPr>
              <w:spacing w:line="4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顾客或外供方财产</w:t>
            </w:r>
          </w:p>
        </w:tc>
        <w:tc>
          <w:tcPr>
            <w:tcW w:w="279" w:type="pct"/>
            <w:noWrap w:val="0"/>
            <w:vAlign w:val="top"/>
          </w:tcPr>
          <w:p>
            <w:pPr>
              <w:spacing w:line="400" w:lineRule="exact"/>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Q</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8.5.2</w:t>
            </w:r>
          </w:p>
          <w:p>
            <w:pPr>
              <w:spacing w:line="400" w:lineRule="exact"/>
              <w:ind w:firstLine="211" w:firstLineChars="100"/>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8</w:t>
            </w:r>
            <w:r>
              <w:rPr>
                <w:rFonts w:hint="eastAsia" w:asciiTheme="minorEastAsia" w:hAnsiTheme="minorEastAsia" w:eastAsiaTheme="minorEastAsia" w:cstheme="minorEastAsia"/>
                <w:b/>
                <w:color w:val="auto"/>
                <w:sz w:val="21"/>
                <w:szCs w:val="21"/>
              </w:rPr>
              <w:t>.5.3</w:t>
            </w:r>
          </w:p>
          <w:p>
            <w:pPr>
              <w:spacing w:line="400" w:lineRule="exact"/>
              <w:rPr>
                <w:rFonts w:hint="eastAsia" w:asciiTheme="minorEastAsia" w:hAnsiTheme="minorEastAsia" w:eastAsiaTheme="minorEastAsia" w:cstheme="minorEastAsia"/>
                <w:color w:val="auto"/>
                <w:sz w:val="21"/>
                <w:szCs w:val="21"/>
                <w:lang w:val="en-US" w:eastAsia="zh-CN"/>
              </w:rPr>
            </w:pPr>
          </w:p>
        </w:tc>
        <w:tc>
          <w:tcPr>
            <w:tcW w:w="4037" w:type="pct"/>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业务员每次配送商品都要将商品的有关信息进行记录，保持商品在销售及售后的全过程中处于可识别状态，以销售人员在销售文件和资料上的签字或印章为标识,工作人员、销售人员服务质量以</w:t>
            </w:r>
            <w:r>
              <w:rPr>
                <w:rFonts w:hint="eastAsia" w:asciiTheme="minorEastAsia" w:hAnsiTheme="minorEastAsia" w:eastAsiaTheme="minorEastAsia" w:cstheme="minorEastAsia"/>
                <w:color w:val="auto"/>
                <w:sz w:val="21"/>
                <w:szCs w:val="21"/>
                <w:lang w:val="en-GB" w:eastAsia="zh-CN"/>
              </w:rPr>
              <w:t>业务部</w:t>
            </w:r>
            <w:r>
              <w:rPr>
                <w:rFonts w:hint="eastAsia" w:asciiTheme="minorEastAsia" w:hAnsiTheme="minorEastAsia" w:eastAsiaTheme="minorEastAsia" w:cstheme="minorEastAsia"/>
                <w:color w:val="auto"/>
                <w:sz w:val="21"/>
                <w:szCs w:val="21"/>
                <w:lang w:val="en-GB"/>
              </w:rPr>
              <w:t>经理、公司的考核评价、月检查评定为状态标识。</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在</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lang w:val="en-GB"/>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20" w:firstLineChars="200"/>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lang w:val="en-GB"/>
              </w:rPr>
              <w:t>部负责接收和验证顾客提供的财产，并记录验证结果。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lang w:val="en-GB"/>
              </w:rPr>
              <w:t>负责维护和使用顾客财产，若顾客财产发生丢失、损坏或发现不适用的情况时，应报告顾客，并保持记录。</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10"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防护</w:t>
            </w:r>
          </w:p>
          <w:p>
            <w:pPr>
              <w:rPr>
                <w:rFonts w:hint="eastAsia" w:asciiTheme="minorEastAsia" w:hAnsiTheme="minorEastAsia" w:eastAsiaTheme="minorEastAsia" w:cstheme="minorEastAsia"/>
                <w:color w:val="auto"/>
                <w:sz w:val="21"/>
                <w:szCs w:val="21"/>
                <w:lang w:val="en-US" w:eastAsia="zh-CN"/>
              </w:rPr>
            </w:pPr>
          </w:p>
        </w:tc>
        <w:tc>
          <w:tcPr>
            <w:tcW w:w="279"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Q8.5.4</w:t>
            </w:r>
          </w:p>
        </w:tc>
        <w:tc>
          <w:tcPr>
            <w:tcW w:w="4037" w:type="pct"/>
            <w:noWrap w:val="0"/>
            <w:vAlign w:val="top"/>
          </w:tcPr>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查看库房</w:t>
            </w:r>
            <w:r>
              <w:rPr>
                <w:rFonts w:hint="eastAsia" w:asciiTheme="minorEastAsia" w:hAnsiTheme="minorEastAsia" w:eastAsiaTheme="minorEastAsia" w:cstheme="minorEastAsia"/>
                <w:color w:val="auto"/>
                <w:sz w:val="21"/>
                <w:szCs w:val="21"/>
              </w:rPr>
              <w:t>，产品放置在规定的区域，避免日晒、雨淋等，现场查看，产品的防护基本符合要求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产品在搬运过程中规定轻搬轻放，专区分类存放。</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交付后的活动</w:t>
            </w:r>
          </w:p>
          <w:p>
            <w:pPr>
              <w:rPr>
                <w:rFonts w:hint="eastAsia" w:asciiTheme="minorEastAsia" w:hAnsiTheme="minorEastAsia" w:eastAsiaTheme="minorEastAsia" w:cstheme="minorEastAsia"/>
                <w:color w:val="auto"/>
                <w:sz w:val="21"/>
                <w:szCs w:val="21"/>
                <w:lang w:val="en-US" w:eastAsia="zh-CN"/>
              </w:rPr>
            </w:pP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Q8.5.5</w:t>
            </w:r>
          </w:p>
          <w:p>
            <w:pPr>
              <w:rPr>
                <w:rFonts w:hint="eastAsia" w:asciiTheme="minorEastAsia" w:hAnsiTheme="minorEastAsia" w:eastAsiaTheme="minorEastAsia" w:cstheme="minorEastAsia"/>
                <w:color w:val="auto"/>
                <w:sz w:val="21"/>
                <w:szCs w:val="21"/>
                <w:lang w:val="en-US" w:eastAsia="zh-CN"/>
              </w:rPr>
            </w:pPr>
          </w:p>
        </w:tc>
        <w:tc>
          <w:tcPr>
            <w:tcW w:w="4037" w:type="pct"/>
            <w:noWrap w:val="0"/>
            <w:vAlign w:val="center"/>
          </w:tcPr>
          <w:p>
            <w:pPr>
              <w:rPr>
                <w:rFonts w:hint="eastAsia" w:asciiTheme="minorEastAsia" w:hAnsiTheme="minorEastAsia" w:eastAsiaTheme="minorEastAsia" w:cstheme="minorEastAsia"/>
                <w:b/>
                <w:color w:val="auto"/>
                <w:sz w:val="21"/>
                <w:szCs w:val="21"/>
              </w:rPr>
            </w:pP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采购的物质经验收合格后由仓库进行管理；销售的产品根据数量的多少、发运的地点及包装要求由销售人员联系物流，在规定的时间内将产品送到客户指定地点。</w:t>
            </w:r>
          </w:p>
          <w:p>
            <w:pPr>
              <w:rPr>
                <w:rFonts w:hint="eastAsia" w:asciiTheme="minorEastAsia" w:hAnsiTheme="minorEastAsia" w:eastAsiaTheme="minorEastAsia" w:cstheme="minorEastAsia"/>
                <w:color w:val="auto"/>
                <w:sz w:val="21"/>
                <w:szCs w:val="21"/>
              </w:rPr>
            </w:pP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更改的控制</w:t>
            </w:r>
          </w:p>
          <w:p>
            <w:pPr>
              <w:rPr>
                <w:rFonts w:hint="eastAsia" w:asciiTheme="minorEastAsia" w:hAnsiTheme="minorEastAsia" w:eastAsiaTheme="minorEastAsia" w:cstheme="minorEastAsia"/>
                <w:color w:val="auto"/>
                <w:sz w:val="21"/>
                <w:szCs w:val="21"/>
                <w:lang w:val="en-US" w:eastAsia="zh-CN"/>
              </w:rPr>
            </w:pP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Q8.5.6</w:t>
            </w:r>
          </w:p>
          <w:p>
            <w:pPr>
              <w:rPr>
                <w:rFonts w:hint="eastAsia" w:asciiTheme="minorEastAsia" w:hAnsiTheme="minorEastAsia" w:eastAsiaTheme="minorEastAsia" w:cstheme="minorEastAsia"/>
                <w:color w:val="auto"/>
                <w:sz w:val="21"/>
                <w:szCs w:val="21"/>
                <w:lang w:val="en-US" w:eastAsia="zh-CN"/>
              </w:rPr>
            </w:pPr>
          </w:p>
        </w:tc>
        <w:tc>
          <w:tcPr>
            <w:tcW w:w="4037"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组织应对销售合同的更改进行评审，以确保稳定的符合要求。</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组织应保留形成文件的信息，包括有关更改评审结果、授权进行更改的人员以及根据评审所采取的必要措施。</w:t>
            </w:r>
          </w:p>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经询问，体系运行至今无更改情况发生。</w:t>
            </w:r>
          </w:p>
          <w:p>
            <w:pPr>
              <w:rPr>
                <w:rFonts w:hint="eastAsia" w:asciiTheme="minorEastAsia" w:hAnsiTheme="minorEastAsia" w:eastAsiaTheme="minorEastAsia" w:cstheme="minorEastAsia"/>
                <w:color w:val="auto"/>
                <w:sz w:val="21"/>
                <w:szCs w:val="21"/>
              </w:rPr>
            </w:pP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cs="宋体"/>
                <w:sz w:val="21"/>
                <w:szCs w:val="21"/>
              </w:rPr>
              <w:t>沟通、参与、协商</w:t>
            </w:r>
          </w:p>
        </w:tc>
        <w:tc>
          <w:tcPr>
            <w:tcW w:w="279" w:type="pct"/>
            <w:noWrap w:val="0"/>
            <w:vAlign w:val="center"/>
          </w:tcPr>
          <w:p>
            <w:pPr>
              <w:rPr>
                <w:rFonts w:hint="eastAsia"/>
                <w:sz w:val="21"/>
                <w:szCs w:val="21"/>
              </w:rPr>
            </w:pPr>
            <w:r>
              <w:rPr>
                <w:sz w:val="21"/>
                <w:szCs w:val="21"/>
              </w:rPr>
              <w:t>QE</w:t>
            </w:r>
            <w:r>
              <w:rPr>
                <w:rFonts w:hint="eastAsia"/>
                <w:sz w:val="21"/>
                <w:szCs w:val="21"/>
              </w:rPr>
              <w:t>O</w:t>
            </w:r>
          </w:p>
          <w:p>
            <w:pPr>
              <w:rPr>
                <w:sz w:val="21"/>
                <w:szCs w:val="21"/>
              </w:rPr>
            </w:pPr>
            <w:r>
              <w:rPr>
                <w:sz w:val="21"/>
                <w:szCs w:val="21"/>
              </w:rPr>
              <w:t>7.4</w:t>
            </w:r>
          </w:p>
          <w:p>
            <w:pPr>
              <w:rPr>
                <w:rFonts w:hint="eastAsia"/>
                <w:lang w:val="en-US" w:eastAsia="zh-CN"/>
              </w:rPr>
            </w:pPr>
            <w:r>
              <w:rPr>
                <w:rFonts w:hint="eastAsia"/>
                <w:sz w:val="21"/>
                <w:szCs w:val="21"/>
                <w:lang w:val="en-US" w:eastAsia="zh-CN"/>
              </w:rPr>
              <w:t>O5.4</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cs="宋体"/>
                <w:sz w:val="21"/>
                <w:szCs w:val="21"/>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sz w:val="21"/>
                <w:szCs w:val="21"/>
              </w:rPr>
            </w:pPr>
            <w:r>
              <w:rPr>
                <w:rFonts w:hint="eastAsia"/>
                <w:sz w:val="21"/>
                <w:szCs w:val="21"/>
              </w:rPr>
              <w:t>采购过程及控制类型和程度、</w:t>
            </w:r>
          </w:p>
          <w:p>
            <w:pPr>
              <w:rPr>
                <w:rFonts w:hint="default" w:asciiTheme="minorEastAsia" w:hAnsiTheme="minorEastAsia" w:eastAsiaTheme="minorEastAsia" w:cstheme="minorEastAsia"/>
                <w:color w:val="auto"/>
                <w:sz w:val="21"/>
                <w:szCs w:val="21"/>
                <w:lang w:val="en-US" w:eastAsia="zh-CN"/>
              </w:rPr>
            </w:pPr>
            <w:r>
              <w:rPr>
                <w:rFonts w:hint="eastAsia"/>
                <w:sz w:val="21"/>
                <w:szCs w:val="21"/>
              </w:rPr>
              <w:t>外部供方的信息</w:t>
            </w:r>
          </w:p>
        </w:tc>
        <w:tc>
          <w:tcPr>
            <w:tcW w:w="279" w:type="pct"/>
            <w:noWrap w:val="0"/>
            <w:vAlign w:val="center"/>
          </w:tcPr>
          <w:p>
            <w:pPr>
              <w:rPr>
                <w:rFonts w:hint="eastAsia"/>
                <w:sz w:val="21"/>
                <w:szCs w:val="21"/>
              </w:rPr>
            </w:pPr>
            <w:r>
              <w:rPr>
                <w:rFonts w:hint="eastAsia"/>
                <w:sz w:val="21"/>
                <w:szCs w:val="21"/>
              </w:rPr>
              <w:t>Q</w:t>
            </w:r>
          </w:p>
          <w:p>
            <w:pPr>
              <w:rPr>
                <w:rFonts w:hint="eastAsia"/>
                <w:sz w:val="21"/>
                <w:szCs w:val="21"/>
              </w:rPr>
            </w:pPr>
            <w:r>
              <w:rPr>
                <w:rFonts w:hint="eastAsia"/>
                <w:sz w:val="21"/>
                <w:szCs w:val="21"/>
              </w:rPr>
              <w:t>8.4</w:t>
            </w:r>
          </w:p>
          <w:p>
            <w:pPr>
              <w:pStyle w:val="2"/>
              <w:rPr>
                <w:rFonts w:hint="default"/>
                <w:lang w:val="en-US" w:eastAsia="zh-CN"/>
              </w:rPr>
            </w:pPr>
            <w:r>
              <w:rPr>
                <w:rFonts w:hint="eastAsia"/>
                <w:sz w:val="21"/>
                <w:szCs w:val="21"/>
                <w:lang w:val="en-US" w:eastAsia="zh-CN"/>
              </w:rPr>
              <w:t>O8.1.4</w:t>
            </w:r>
          </w:p>
        </w:tc>
        <w:tc>
          <w:tcPr>
            <w:tcW w:w="4037" w:type="pct"/>
            <w:noWrap w:val="0"/>
            <w:vAlign w:val="center"/>
          </w:tcPr>
          <w:p>
            <w:pPr>
              <w:rPr>
                <w:rFonts w:hint="eastAsia" w:cs="宋体"/>
                <w:color w:val="auto"/>
                <w:sz w:val="21"/>
                <w:szCs w:val="21"/>
              </w:rPr>
            </w:pPr>
            <w:r>
              <w:rPr>
                <w:rFonts w:hint="eastAsia" w:cs="宋体"/>
                <w:sz w:val="21"/>
                <w:szCs w:val="21"/>
              </w:rPr>
              <w:t>在外部提供产品、</w:t>
            </w:r>
            <w:r>
              <w:rPr>
                <w:rFonts w:hint="eastAsia" w:cs="宋体"/>
                <w:color w:val="auto"/>
                <w:sz w:val="21"/>
                <w:szCs w:val="21"/>
              </w:rPr>
              <w:t>服务和过程控制程序中规定了供方选择评价和重新评价的方法和准则，通过调查供方的质量保证能力如：经营合法性、产品质量、质量保证能力、价格、交货、服务、质量管理体系等方面进行评价。</w:t>
            </w:r>
          </w:p>
          <w:p>
            <w:pPr>
              <w:rPr>
                <w:rFonts w:hint="default" w:eastAsia="宋体" w:cs="宋体"/>
                <w:color w:val="auto"/>
                <w:sz w:val="21"/>
                <w:szCs w:val="21"/>
                <w:lang w:val="en-US" w:eastAsia="zh-CN"/>
              </w:rPr>
            </w:pPr>
            <w:r>
              <w:rPr>
                <w:rFonts w:hint="eastAsia" w:cs="宋体"/>
                <w:color w:val="auto"/>
                <w:sz w:val="21"/>
                <w:szCs w:val="21"/>
              </w:rPr>
              <w:t>查阅了《合格供方登记表》</w:t>
            </w:r>
            <w:r>
              <w:rPr>
                <w:rFonts w:hint="eastAsia" w:cs="宋体"/>
                <w:color w:val="auto"/>
                <w:sz w:val="21"/>
                <w:szCs w:val="21"/>
                <w:lang w:val="en-US" w:eastAsia="zh-CN"/>
              </w:rPr>
              <w:t>供应商名称      产品/服务                                                       联系人</w:t>
            </w:r>
          </w:p>
          <w:p>
            <w:pPr>
              <w:pStyle w:val="2"/>
              <w:rPr>
                <w:rFonts w:hint="eastAsia"/>
                <w:color w:val="auto"/>
                <w:sz w:val="21"/>
                <w:szCs w:val="21"/>
                <w:lang w:val="en-US" w:eastAsia="zh-CN"/>
              </w:rPr>
            </w:pPr>
            <w:r>
              <w:rPr>
                <w:rFonts w:hint="eastAsia"/>
                <w:color w:val="auto"/>
                <w:sz w:val="21"/>
                <w:szCs w:val="21"/>
                <w:lang w:val="en-US" w:eastAsia="zh-CN"/>
              </w:rPr>
              <w:t xml:space="preserve">鹏鹞环保股份有限公-- </w:t>
            </w:r>
            <w:r>
              <w:rPr>
                <w:rFonts w:hint="eastAsia" w:asciiTheme="minorEastAsia" w:hAnsiTheme="minorEastAsia" w:eastAsiaTheme="minorEastAsia" w:cstheme="minorEastAsia"/>
                <w:color w:val="auto"/>
                <w:sz w:val="21"/>
                <w:szCs w:val="21"/>
                <w:lang w:val="en-US" w:eastAsia="zh-CN"/>
              </w:rPr>
              <w:t>玻璃钢、</w:t>
            </w:r>
            <w:r>
              <w:rPr>
                <w:rFonts w:hint="eastAsia" w:asciiTheme="minorEastAsia" w:hAnsiTheme="minorEastAsia" w:eastAsiaTheme="minorEastAsia" w:cstheme="minorEastAsia"/>
                <w:color w:val="auto"/>
                <w:sz w:val="21"/>
                <w:szCs w:val="21"/>
                <w:lang w:val="en-US" w:eastAsia="zh-CN"/>
              </w:rPr>
              <w:t>铝扣板、消防指示牌、镀锌桥架、接地镀锌扁铁、接地铜线、接地辅材等</w:t>
            </w:r>
            <w:r>
              <w:rPr>
                <w:rFonts w:hint="eastAsia"/>
                <w:color w:val="auto"/>
                <w:sz w:val="21"/>
                <w:szCs w:val="21"/>
                <w:lang w:val="en-US" w:eastAsia="zh-CN"/>
              </w:rPr>
              <w:tab/>
            </w:r>
            <w:r>
              <w:rPr>
                <w:rFonts w:hint="eastAsia"/>
                <w:color w:val="auto"/>
                <w:sz w:val="21"/>
                <w:szCs w:val="21"/>
                <w:lang w:val="en-US" w:eastAsia="zh-CN"/>
              </w:rPr>
              <w:t xml:space="preserve"> 陈亮       </w:t>
            </w:r>
          </w:p>
          <w:p>
            <w:pPr>
              <w:tabs>
                <w:tab w:val="left" w:pos="1679"/>
              </w:tabs>
              <w:rPr>
                <w:rFonts w:hint="eastAsia"/>
                <w:color w:val="auto"/>
                <w:sz w:val="21"/>
                <w:szCs w:val="21"/>
                <w:lang w:val="en-US" w:eastAsia="zh-CN"/>
              </w:rPr>
            </w:pPr>
            <w:r>
              <w:rPr>
                <w:rFonts w:hint="eastAsia"/>
                <w:color w:val="auto"/>
                <w:sz w:val="21"/>
                <w:szCs w:val="21"/>
                <w:lang w:val="en-US" w:eastAsia="zh-CN"/>
              </w:rPr>
              <w:t>凌志环保股份有限公司--玻璃钢、</w:t>
            </w:r>
            <w:r>
              <w:rPr>
                <w:rFonts w:hint="eastAsia" w:asciiTheme="minorEastAsia" w:hAnsiTheme="minorEastAsia" w:eastAsiaTheme="minorEastAsia" w:cstheme="minorEastAsia"/>
                <w:color w:val="auto"/>
                <w:sz w:val="21"/>
                <w:szCs w:val="21"/>
                <w:lang w:val="en-US" w:eastAsia="zh-CN"/>
              </w:rPr>
              <w:t xml:space="preserve">铝扣板、天花收边材料、静电地板、LED面板灯、消防指示牌、镀锌桥架、接地镀锌扁铁、接地铜线、铜鼻子、接地辅材等。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color w:val="auto"/>
                <w:sz w:val="21"/>
                <w:szCs w:val="21"/>
                <w:lang w:val="en-US" w:eastAsia="zh-CN"/>
              </w:rPr>
              <w:t>朱文雅</w:t>
            </w:r>
          </w:p>
          <w:p>
            <w:pPr>
              <w:pStyle w:val="2"/>
              <w:rPr>
                <w:rFonts w:hint="default"/>
                <w:color w:val="auto"/>
                <w:sz w:val="21"/>
                <w:szCs w:val="21"/>
                <w:lang w:val="en-US" w:eastAsia="zh-CN"/>
              </w:rPr>
            </w:pPr>
            <w:r>
              <w:rPr>
                <w:rFonts w:hint="eastAsia"/>
                <w:color w:val="auto"/>
                <w:sz w:val="21"/>
                <w:szCs w:val="21"/>
                <w:lang w:val="en-US" w:eastAsia="zh-CN"/>
              </w:rPr>
              <w:t>浙江云图橡塑制品有限公司--新料1.8米围挡、</w:t>
            </w:r>
            <w:r>
              <w:rPr>
                <w:rFonts w:hint="eastAsia"/>
                <w:color w:val="auto"/>
                <w:lang w:val="en-US" w:eastAsia="zh-CN"/>
              </w:rPr>
              <w:t>高速球机、网络硬盘录像机、监视器、监控器、机柜等；</w:t>
            </w:r>
            <w:r>
              <w:rPr>
                <w:rFonts w:hint="eastAsia"/>
                <w:color w:val="auto"/>
                <w:sz w:val="21"/>
                <w:szCs w:val="21"/>
                <w:lang w:val="en-US" w:eastAsia="zh-CN"/>
              </w:rPr>
              <w:t xml:space="preserve">     张志永</w:t>
            </w:r>
          </w:p>
          <w:p>
            <w:pPr>
              <w:pStyle w:val="2"/>
              <w:rPr>
                <w:rFonts w:hint="eastAsia"/>
                <w:color w:val="auto"/>
                <w:sz w:val="21"/>
                <w:szCs w:val="21"/>
                <w:lang w:val="en-US" w:eastAsia="zh-CN"/>
              </w:rPr>
            </w:pPr>
            <w:r>
              <w:rPr>
                <w:rFonts w:hint="eastAsia"/>
                <w:color w:val="auto"/>
                <w:sz w:val="21"/>
                <w:szCs w:val="21"/>
                <w:lang w:val="en-US" w:eastAsia="zh-CN"/>
              </w:rPr>
              <w:t>山东聚诚管业有限公司----水暖管件、</w:t>
            </w:r>
            <w:r>
              <w:rPr>
                <w:rFonts w:hint="eastAsia" w:asciiTheme="minorEastAsia" w:hAnsiTheme="minorEastAsia" w:eastAsiaTheme="minorEastAsia" w:cstheme="minorEastAsia"/>
                <w:color w:val="auto"/>
                <w:sz w:val="21"/>
                <w:szCs w:val="21"/>
                <w:lang w:val="en-US" w:eastAsia="zh-CN"/>
              </w:rPr>
              <w:t>遇水膨胀止水带、遇水膨胀止水条、土工布、接地辅材</w:t>
            </w:r>
            <w:r>
              <w:rPr>
                <w:rFonts w:hint="eastAsia"/>
                <w:color w:val="auto"/>
                <w:sz w:val="21"/>
                <w:szCs w:val="21"/>
                <w:lang w:val="en-US" w:eastAsia="zh-CN"/>
              </w:rPr>
              <w:t>等             韩帅</w:t>
            </w:r>
          </w:p>
          <w:p>
            <w:pPr>
              <w:pStyle w:val="2"/>
              <w:rPr>
                <w:rFonts w:hint="eastAsia"/>
                <w:color w:val="auto"/>
                <w:sz w:val="21"/>
                <w:szCs w:val="21"/>
                <w:lang w:val="en-US" w:eastAsia="zh-CN"/>
              </w:rPr>
            </w:pPr>
            <w:r>
              <w:rPr>
                <w:rFonts w:hint="eastAsia"/>
                <w:color w:val="auto"/>
                <w:sz w:val="21"/>
                <w:szCs w:val="21"/>
                <w:lang w:val="en-US" w:eastAsia="zh-CN"/>
              </w:rPr>
              <w:t>刘春利（物流运输外包）             货物运输                                             刘春利</w:t>
            </w:r>
          </w:p>
          <w:p>
            <w:pPr>
              <w:pStyle w:val="2"/>
              <w:rPr>
                <w:rFonts w:hint="eastAsia"/>
                <w:color w:val="auto"/>
                <w:sz w:val="21"/>
                <w:szCs w:val="21"/>
                <w:lang w:val="en-US" w:eastAsia="zh-CN"/>
              </w:rPr>
            </w:pPr>
            <w:r>
              <w:rPr>
                <w:rFonts w:hint="eastAsia"/>
                <w:color w:val="auto"/>
                <w:sz w:val="21"/>
                <w:szCs w:val="21"/>
                <w:lang w:val="en-US" w:eastAsia="zh-CN"/>
              </w:rPr>
              <w:t>石家庄海源劳保用品有限公司         口罩、手套、劳动服等劳保用品</w:t>
            </w:r>
          </w:p>
          <w:p>
            <w:pPr>
              <w:pStyle w:val="2"/>
              <w:rPr>
                <w:rFonts w:hint="default"/>
                <w:color w:val="auto"/>
                <w:sz w:val="21"/>
                <w:szCs w:val="21"/>
                <w:lang w:val="en-US" w:eastAsia="zh-CN"/>
              </w:rPr>
            </w:pPr>
            <w:r>
              <w:rPr>
                <w:rFonts w:hint="eastAsia"/>
                <w:color w:val="auto"/>
                <w:sz w:val="21"/>
                <w:szCs w:val="21"/>
                <w:lang w:val="en-US" w:eastAsia="zh-CN"/>
              </w:rPr>
              <w:t xml:space="preserve">石家庄正华消防器材有限公司         灭火器等消防器材  </w:t>
            </w:r>
          </w:p>
          <w:p>
            <w:pPr>
              <w:rPr>
                <w:rFonts w:hint="default"/>
                <w:color w:val="auto"/>
                <w:sz w:val="21"/>
                <w:szCs w:val="21"/>
                <w:lang w:val="en-US" w:eastAsia="zh-CN"/>
              </w:rPr>
            </w:pPr>
            <w:r>
              <w:rPr>
                <w:rFonts w:hint="default" w:ascii="Arial" w:hAnsi="Arial" w:cs="Arial"/>
                <w:color w:val="auto"/>
                <w:sz w:val="21"/>
                <w:szCs w:val="21"/>
                <w:lang w:val="en-US" w:eastAsia="zh-CN"/>
              </w:rPr>
              <w:t>……</w:t>
            </w:r>
          </w:p>
          <w:p>
            <w:pPr>
              <w:rPr>
                <w:rFonts w:hint="eastAsia" w:cs="宋体"/>
                <w:sz w:val="21"/>
                <w:szCs w:val="21"/>
              </w:rPr>
            </w:pPr>
            <w:r>
              <w:rPr>
                <w:rFonts w:hint="eastAsia" w:cs="宋体"/>
                <w:color w:val="auto"/>
                <w:sz w:val="21"/>
                <w:szCs w:val="21"/>
              </w:rPr>
              <w:t>提供了 20</w:t>
            </w:r>
            <w:r>
              <w:rPr>
                <w:rFonts w:hint="eastAsia" w:cs="宋体"/>
                <w:color w:val="auto"/>
                <w:sz w:val="21"/>
                <w:szCs w:val="21"/>
                <w:lang w:val="en-US" w:eastAsia="zh-CN"/>
              </w:rPr>
              <w:t>20</w:t>
            </w:r>
            <w:r>
              <w:rPr>
                <w:rFonts w:hint="eastAsia" w:cs="宋体"/>
                <w:color w:val="auto"/>
                <w:sz w:val="21"/>
                <w:szCs w:val="21"/>
              </w:rPr>
              <w:t>年</w:t>
            </w:r>
            <w:r>
              <w:rPr>
                <w:rFonts w:hint="eastAsia" w:cs="宋体"/>
                <w:color w:val="auto"/>
                <w:sz w:val="21"/>
                <w:szCs w:val="21"/>
                <w:lang w:val="en-US" w:eastAsia="zh-CN"/>
              </w:rPr>
              <w:t>1</w:t>
            </w:r>
            <w:r>
              <w:rPr>
                <w:rFonts w:hint="eastAsia" w:cs="宋体"/>
                <w:color w:val="auto"/>
                <w:sz w:val="21"/>
                <w:szCs w:val="21"/>
              </w:rPr>
              <w:t>月对以上供应商的评价记录《供方评价表》：评价内容有：营业执照、资质情况、服务能力、负责质量等，有总经理及各部门意见。结论均为同意列入</w:t>
            </w:r>
            <w:r>
              <w:rPr>
                <w:rFonts w:hint="eastAsia" w:cs="宋体"/>
                <w:sz w:val="21"/>
                <w:szCs w:val="21"/>
              </w:rPr>
              <w:t>合格供方。</w:t>
            </w:r>
          </w:p>
          <w:p>
            <w:pPr>
              <w:rPr>
                <w:rFonts w:hint="eastAsia" w:eastAsia="宋体" w:cs="宋体"/>
                <w:sz w:val="21"/>
                <w:szCs w:val="21"/>
                <w:lang w:eastAsia="zh-CN"/>
              </w:rPr>
            </w:pPr>
            <w:r>
              <w:rPr>
                <w:rFonts w:hint="eastAsia" w:cs="宋体"/>
                <w:sz w:val="21"/>
                <w:szCs w:val="21"/>
                <w:lang w:val="en-US" w:eastAsia="zh-CN"/>
              </w:rPr>
              <w:t>办公室</w:t>
            </w:r>
            <w:r>
              <w:rPr>
                <w:rFonts w:hint="eastAsia" w:cs="宋体"/>
                <w:sz w:val="21"/>
                <w:szCs w:val="21"/>
              </w:rPr>
              <w:t>确定需要实施采购的任务，编制采购计划，经批准实施采购。公司已建立、保持与合格供方信息反馈渠道，及时沟通、保持协调，有良好的互惠关系；采购信息充分、可靠，采购产品的要求明确、适宜</w:t>
            </w:r>
            <w:r>
              <w:rPr>
                <w:rFonts w:hint="eastAsia" w:cs="宋体"/>
                <w:sz w:val="21"/>
                <w:szCs w:val="21"/>
                <w:lang w:eastAsia="zh-CN"/>
              </w:rPr>
              <w:t>。</w:t>
            </w:r>
          </w:p>
          <w:p>
            <w:pPr>
              <w:rPr>
                <w:rFonts w:hint="eastAsia" w:asciiTheme="minorEastAsia" w:hAnsiTheme="minorEastAsia" w:eastAsiaTheme="minorEastAsia" w:cstheme="minorEastAsia"/>
                <w:color w:val="auto"/>
                <w:sz w:val="21"/>
                <w:szCs w:val="21"/>
              </w:rPr>
            </w:pPr>
            <w:r>
              <w:rPr>
                <w:rFonts w:hint="eastAsia" w:cs="宋体"/>
                <w:sz w:val="21"/>
                <w:szCs w:val="21"/>
              </w:rPr>
              <w:t>查看“20</w:t>
            </w:r>
            <w:r>
              <w:rPr>
                <w:rFonts w:hint="eastAsia" w:cs="宋体"/>
                <w:sz w:val="21"/>
                <w:szCs w:val="21"/>
                <w:lang w:val="en-US" w:eastAsia="zh-CN"/>
              </w:rPr>
              <w:t>20</w:t>
            </w:r>
            <w:r>
              <w:rPr>
                <w:rFonts w:hint="eastAsia" w:cs="宋体"/>
                <w:sz w:val="21"/>
                <w:szCs w:val="21"/>
              </w:rPr>
              <w:t>年</w:t>
            </w:r>
            <w:r>
              <w:rPr>
                <w:rFonts w:hint="eastAsia" w:cs="宋体"/>
                <w:sz w:val="21"/>
                <w:szCs w:val="21"/>
                <w:lang w:val="en-US" w:eastAsia="zh-CN"/>
              </w:rPr>
              <w:t>4</w:t>
            </w:r>
            <w:r>
              <w:rPr>
                <w:rFonts w:hint="eastAsia" w:cs="宋体"/>
                <w:sz w:val="21"/>
                <w:szCs w:val="21"/>
              </w:rPr>
              <w:t>月采购计划”，包括序号、品名、规格、数量、日期、供方等内容，采购信息基本明确。</w:t>
            </w:r>
          </w:p>
        </w:tc>
        <w:tc>
          <w:tcPr>
            <w:tcW w:w="173" w:type="pct"/>
            <w:noWrap w:val="0"/>
            <w:vAlign w:val="top"/>
          </w:tcPr>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GB"/>
              </w:rPr>
            </w:pPr>
            <w:r>
              <w:rPr>
                <w:rFonts w:hint="eastAsia" w:asciiTheme="minorEastAsia" w:hAnsiTheme="minorEastAsia" w:eastAsiaTheme="minorEastAsia" w:cstheme="minorEastAsia"/>
                <w:color w:val="auto"/>
                <w:sz w:val="21"/>
                <w:szCs w:val="21"/>
                <w:lang w:val="en-GB"/>
              </w:rPr>
              <w:t>产品和服务的放行</w:t>
            </w:r>
          </w:p>
          <w:p>
            <w:pPr>
              <w:rPr>
                <w:rFonts w:hint="eastAsia" w:asciiTheme="minorEastAsia" w:hAnsiTheme="minorEastAsia" w:eastAsiaTheme="minorEastAsia" w:cstheme="minorEastAsia"/>
                <w:color w:val="auto"/>
                <w:sz w:val="21"/>
                <w:szCs w:val="21"/>
                <w:lang w:val="en-US" w:eastAsia="zh-CN"/>
              </w:rPr>
            </w:pP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rPr>
                <w:rFonts w:hint="eastAsia" w:asciiTheme="minorEastAsia" w:hAnsiTheme="minorEastAsia" w:eastAsiaTheme="minorEastAsia" w:cstheme="minorEastAsia"/>
                <w:color w:val="auto"/>
                <w:sz w:val="21"/>
                <w:szCs w:val="21"/>
                <w:lang w:val="en-US" w:eastAsia="zh-CN"/>
              </w:rPr>
            </w:pP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GB"/>
              </w:rPr>
              <w:t>公司产品和服务的放行，需得到</w:t>
            </w:r>
            <w:r>
              <w:rPr>
                <w:rFonts w:hint="eastAsia" w:asciiTheme="minorEastAsia" w:hAnsiTheme="minorEastAsia" w:eastAsiaTheme="minorEastAsia" w:cstheme="minorEastAsia"/>
                <w:color w:val="auto"/>
                <w:sz w:val="21"/>
                <w:szCs w:val="21"/>
                <w:lang w:val="en-US" w:eastAsia="zh-CN"/>
              </w:rPr>
              <w:t>业务部</w:t>
            </w:r>
            <w:r>
              <w:rPr>
                <w:rFonts w:hint="eastAsia" w:asciiTheme="minorEastAsia" w:hAnsiTheme="minorEastAsia" w:eastAsiaTheme="minorEastAsia" w:cstheme="minorEastAsia"/>
                <w:color w:val="auto"/>
                <w:sz w:val="21"/>
                <w:szCs w:val="21"/>
                <w:lang w:val="en-GB"/>
              </w:rPr>
              <w:t>经理</w:t>
            </w:r>
            <w:r>
              <w:rPr>
                <w:rFonts w:hint="eastAsia" w:asciiTheme="minorEastAsia" w:hAnsiTheme="minorEastAsia" w:eastAsiaTheme="minorEastAsia" w:cstheme="minorEastAsia"/>
                <w:color w:val="auto"/>
                <w:sz w:val="21"/>
                <w:szCs w:val="21"/>
                <w:lang w:val="en-US" w:eastAsia="zh-CN"/>
              </w:rPr>
              <w:t>李延波</w:t>
            </w:r>
            <w:r>
              <w:rPr>
                <w:rFonts w:hint="eastAsia" w:asciiTheme="minorEastAsia" w:hAnsiTheme="minorEastAsia" w:eastAsiaTheme="minorEastAsia" w:cstheme="minorEastAsia"/>
                <w:color w:val="auto"/>
                <w:sz w:val="21"/>
                <w:szCs w:val="21"/>
                <w:lang w:val="en-GB"/>
              </w:rPr>
              <w:t>的批准后放行</w:t>
            </w:r>
            <w:r>
              <w:rPr>
                <w:rFonts w:hint="eastAsia" w:asciiTheme="minorEastAsia" w:hAnsiTheme="minorEastAsia" w:eastAsiaTheme="minorEastAsia" w:cstheme="minorEastAsia"/>
                <w:color w:val="auto"/>
                <w:sz w:val="21"/>
                <w:szCs w:val="21"/>
                <w:lang w:val="en-GB" w:eastAsia="zh-CN"/>
              </w:rPr>
              <w:t>。</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原材料/采购产品：</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lang w:eastAsia="zh-CN"/>
              </w:rPr>
              <w:t>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color w:val="auto"/>
                <w:lang w:val="en-US" w:eastAsia="zh-CN"/>
              </w:rPr>
              <w:t>200万像素高速球机、网络硬盘录像机、监视器、监控器、机柜、PVC25线管、电箱等，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验证项目：数量、合格证、出厂检验报告单、包装与外观情况。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w:t>
            </w:r>
            <w:r>
              <w:rPr>
                <w:rFonts w:hint="eastAsia" w:asciiTheme="minorEastAsia" w:hAnsiTheme="minorEastAsia" w:eastAsiaTheme="minorEastAsia" w:cstheme="minorEastAsia"/>
                <w:color w:val="auto"/>
                <w:sz w:val="21"/>
                <w:szCs w:val="21"/>
                <w:lang w:eastAsia="zh-CN"/>
              </w:rPr>
              <w:t>李延波</w:t>
            </w: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Theme="minorEastAsia" w:hAnsiTheme="minorEastAsia" w:eastAsiaTheme="minorEastAsia" w:cstheme="minorEastAsia"/>
                <w:color w:val="auto"/>
                <w:sz w:val="21"/>
                <w:szCs w:val="21"/>
                <w:lang w:eastAsia="zh-CN"/>
              </w:rPr>
              <w:t>玻璃钢、</w:t>
            </w:r>
            <w:r>
              <w:rPr>
                <w:rFonts w:hint="eastAsia" w:asciiTheme="minorEastAsia" w:hAnsiTheme="minorEastAsia" w:eastAsiaTheme="minorEastAsia" w:cstheme="minorEastAsia"/>
                <w:color w:val="auto"/>
                <w:sz w:val="21"/>
                <w:szCs w:val="21"/>
                <w:lang w:val="en-US" w:eastAsia="zh-CN"/>
              </w:rPr>
              <w:t>铝扣板、天花收边材料、静电地板、LED面板灯、消防指示牌、镀锌桥架、接地镀锌扁铁、接地铜线、铜鼻子、接地辅材等；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验证项目：数量、合格证、出厂检验报告单、包装与外观情况。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w:t>
            </w:r>
            <w:r>
              <w:rPr>
                <w:rFonts w:hint="eastAsia" w:asciiTheme="minorEastAsia" w:hAnsiTheme="minorEastAsia" w:eastAsiaTheme="minorEastAsia" w:cstheme="minorEastAsia"/>
                <w:color w:val="auto"/>
                <w:sz w:val="21"/>
                <w:szCs w:val="21"/>
                <w:lang w:eastAsia="zh-CN"/>
              </w:rPr>
              <w:t>李延波</w:t>
            </w:r>
            <w:r>
              <w:rPr>
                <w:rFonts w:hint="eastAsia" w:asciiTheme="minorEastAsia" w:hAnsiTheme="minorEastAsia" w:eastAsiaTheme="minorEastAsia" w:cstheme="minorEastAsia"/>
                <w:color w:val="auto"/>
                <w:sz w:val="21"/>
                <w:szCs w:val="21"/>
              </w:rPr>
              <w:t xml:space="preserve"> </w:t>
            </w:r>
          </w:p>
          <w:p>
            <w:pPr>
              <w:pStyle w:val="2"/>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 采购物资验证记录</w:t>
            </w: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eastAsia="zh-CN"/>
              </w:rPr>
              <w:t>日</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物资名称：</w:t>
            </w:r>
            <w:r>
              <w:rPr>
                <w:rFonts w:hint="eastAsia" w:asciiTheme="minorEastAsia" w:hAnsiTheme="minorEastAsia" w:eastAsiaTheme="minorEastAsia" w:cstheme="minorEastAsia"/>
                <w:color w:val="auto"/>
                <w:sz w:val="21"/>
                <w:szCs w:val="21"/>
                <w:lang w:eastAsia="zh-CN"/>
              </w:rPr>
              <w:t>护膝、口罩、</w:t>
            </w:r>
            <w:r>
              <w:rPr>
                <w:rFonts w:hint="eastAsia"/>
                <w:color w:val="auto"/>
                <w:sz w:val="21"/>
                <w:szCs w:val="21"/>
                <w:lang w:val="en-US" w:eastAsia="zh-CN"/>
              </w:rPr>
              <w:t>水暖管件、</w:t>
            </w:r>
            <w:r>
              <w:rPr>
                <w:rFonts w:hint="eastAsia" w:asciiTheme="minorEastAsia" w:hAnsiTheme="minorEastAsia" w:eastAsiaTheme="minorEastAsia" w:cstheme="minorEastAsia"/>
                <w:color w:val="auto"/>
                <w:sz w:val="21"/>
                <w:szCs w:val="21"/>
                <w:lang w:val="en-US" w:eastAsia="zh-CN"/>
              </w:rPr>
              <w:t>遇水膨胀止水带、遇水膨胀止水条、土工布、接地辅材</w:t>
            </w:r>
            <w:r>
              <w:rPr>
                <w:rFonts w:hint="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验证项目：数量、合格证、出厂检验报告单、包装与外观情况。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结论：合格   检验员：</w:t>
            </w:r>
            <w:r>
              <w:rPr>
                <w:rFonts w:hint="eastAsia" w:asciiTheme="minorEastAsia" w:hAnsiTheme="minorEastAsia" w:eastAsiaTheme="minorEastAsia" w:cstheme="minorEastAsia"/>
                <w:color w:val="auto"/>
                <w:sz w:val="21"/>
                <w:szCs w:val="21"/>
                <w:lang w:eastAsia="zh-CN"/>
              </w:rPr>
              <w:t>李延波</w:t>
            </w:r>
            <w:r>
              <w:rPr>
                <w:rFonts w:hint="eastAsia" w:asciiTheme="minorEastAsia" w:hAnsiTheme="minorEastAsia" w:eastAsiaTheme="minorEastAsia" w:cstheme="minorEastAsia"/>
                <w:color w:val="auto"/>
                <w:sz w:val="21"/>
                <w:szCs w:val="21"/>
              </w:rPr>
              <w:t xml:space="preserve"> </w:t>
            </w:r>
          </w:p>
          <w:p>
            <w:pPr>
              <w:pStyle w:val="2"/>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服务过程控制</w:t>
            </w:r>
          </w:p>
          <w:p>
            <w:pP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提供了2020.5.29销售服务过程检查记录表，内容包括业务分析评审、政策分析评审，评审人：李延波 ；</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3）查</w:t>
            </w:r>
            <w:r>
              <w:rPr>
                <w:rFonts w:hint="eastAsia" w:asciiTheme="minorEastAsia" w:hAnsiTheme="minorEastAsia" w:eastAsiaTheme="minorEastAsia" w:cstheme="minorEastAsia"/>
                <w:color w:val="auto"/>
                <w:sz w:val="21"/>
                <w:szCs w:val="21"/>
                <w:lang w:eastAsia="zh-CN"/>
              </w:rPr>
              <w:t>产品交付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——服务完成后有客户确认，提供有客户确认记录及汇款记录。</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查见《人员考核记录》，内容包括：考核项目、要求、考核办法、考核情况、判定、检查人、检查日期等。</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不合格控制</w:t>
            </w:r>
          </w:p>
        </w:tc>
        <w:tc>
          <w:tcPr>
            <w:tcW w:w="279"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Q8.</w:t>
            </w:r>
            <w:r>
              <w:rPr>
                <w:rFonts w:hint="eastAsia" w:asciiTheme="minorEastAsia" w:hAnsiTheme="minorEastAsia" w:eastAsiaTheme="minorEastAsia" w:cstheme="minorEastAsia"/>
                <w:color w:val="auto"/>
                <w:sz w:val="21"/>
                <w:szCs w:val="21"/>
                <w:lang w:val="en-US" w:eastAsia="zh-CN"/>
              </w:rPr>
              <w:t>7</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编制了《不符合控制程序》，内容符合标准要求。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对不合格品处置的方式包括：退货和报废。查见《不合格品台帐》，内容包括：日期、不合格品名称、责任人、不合格原因、处置情况、检验员、备注。要求对不合格产品在台帐上进行登记和处理。</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自体系运行以来未发生过不合格情况，如以后有不合格情况，则按照不合格品控制程序。</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9.1.2</w:t>
            </w:r>
          </w:p>
        </w:tc>
        <w:tc>
          <w:tcPr>
            <w:tcW w:w="4037" w:type="pct"/>
            <w:noWrap w:val="0"/>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提供顾客满意调查分析。最终顾客满意率100%。该结果已提交管理评审。</w:t>
            </w:r>
          </w:p>
        </w:tc>
        <w:tc>
          <w:tcPr>
            <w:tcW w:w="173" w:type="pct"/>
            <w:noWrap w:val="0"/>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运行控制</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w:t>
            </w:r>
          </w:p>
        </w:tc>
        <w:tc>
          <w:tcPr>
            <w:tcW w:w="4037" w:type="pct"/>
            <w:noWrap w:val="0"/>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本部门执行的运行控制文件包括：运行控制程序，固体废弃物管理规定、对相关方施加影响管理规定、节能降耗管理规定、消防安全管理制度、办公室安全管理制度、</w:t>
            </w:r>
            <w:r>
              <w:rPr>
                <w:rFonts w:hint="eastAsia" w:asciiTheme="minorEastAsia" w:hAnsiTheme="minorEastAsia" w:eastAsiaTheme="minorEastAsia" w:cstheme="minorEastAsia"/>
                <w:color w:val="auto"/>
                <w:sz w:val="21"/>
                <w:szCs w:val="21"/>
                <w:lang w:val="en-GB"/>
              </w:rPr>
              <w:t>车辆管理规定、电脑使用管理办法</w:t>
            </w:r>
            <w:r>
              <w:rPr>
                <w:rFonts w:hint="eastAsia" w:asciiTheme="minorEastAsia" w:hAnsiTheme="minorEastAsia" w:eastAsiaTheme="minorEastAsia" w:cstheme="minorEastAsia"/>
                <w:color w:val="auto"/>
                <w:sz w:val="21"/>
                <w:szCs w:val="21"/>
                <w:lang w:val="zh-CN"/>
              </w:rPr>
              <w:t>等</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运行控制情况：</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1、办公室区域：生活污水排放至城市管网。噪声：办公现场不产生明显噪声。</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固废：固体废物主要是生活垃圾、办公产生废纸张废包装物等，配置了垃圾桶、可回收箱分类处置；办公用纸由办公室负责，复印、打印耗材都有办公室统一负责，集中处置。</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2、办公过程注意节约用电，做到人走灯灭，电脑长时间不用时关机，下班前要关闭电源，防止触电。</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3、办公区域禁止吸烟，查看办公区域环境整洁、宽敞、办公设备状态良好、无安全隐患。</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4、工作时间平均每天不超过8小时。</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5、查看办公区域，整洁、光线充足、室内空气良好，办公条件较好，办公设备安全状态良好，教育员工正确使用办公设备，规范用电，无乱拉线现象，防止火灾发生。</w:t>
            </w:r>
          </w:p>
          <w:p>
            <w:pPr>
              <w:rPr>
                <w:rFonts w:hint="eastAsia" w:asciiTheme="minorEastAsia" w:hAnsiTheme="minorEastAsia" w:eastAsiaTheme="minorEastAsia" w:cstheme="minorEastAsia"/>
                <w:color w:val="auto"/>
                <w:sz w:val="21"/>
                <w:szCs w:val="21"/>
                <w:u w:val="single"/>
                <w:lang w:val="zh-CN"/>
              </w:rPr>
            </w:pPr>
            <w:r>
              <w:rPr>
                <w:rFonts w:hint="eastAsia" w:asciiTheme="minorEastAsia" w:hAnsiTheme="minorEastAsia" w:eastAsiaTheme="minorEastAsia" w:cstheme="minorEastAsia"/>
                <w:color w:val="auto"/>
                <w:sz w:val="21"/>
                <w:szCs w:val="21"/>
                <w:lang w:val="zh-CN"/>
              </w:rPr>
              <w:t>7、相关方施加影响：公司能够控制或能够施加影响的相关方有顾客等。提供了“致相关方的公开信”，将公司的环境/安全控制要求发放</w:t>
            </w:r>
            <w:r>
              <w:rPr>
                <w:rFonts w:hint="eastAsia" w:asciiTheme="minorEastAsia" w:hAnsiTheme="minorEastAsia" w:eastAsiaTheme="minorEastAsia" w:cstheme="minorEastAsia"/>
                <w:color w:val="auto"/>
                <w:sz w:val="21"/>
                <w:szCs w:val="21"/>
                <w:lang w:val="en-US" w:eastAsia="zh-CN"/>
              </w:rPr>
              <w:t>给</w:t>
            </w:r>
            <w:r>
              <w:rPr>
                <w:rFonts w:hint="eastAsia" w:asciiTheme="minorEastAsia" w:hAnsiTheme="minorEastAsia" w:eastAsiaTheme="minorEastAsia" w:cstheme="minorEastAsia"/>
                <w:color w:val="auto"/>
                <w:sz w:val="21"/>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8、要求遵守道路交通法规，不违章驾车，驾驶证和车辆定期年审，确保行车安全。</w:t>
            </w:r>
          </w:p>
        </w:tc>
        <w:tc>
          <w:tcPr>
            <w:tcW w:w="173" w:type="pct"/>
            <w:noWrap w:val="0"/>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10"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应急准备和响应</w:t>
            </w:r>
          </w:p>
        </w:tc>
        <w:tc>
          <w:tcPr>
            <w:tcW w:w="279"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w:t>
            </w:r>
          </w:p>
        </w:tc>
        <w:tc>
          <w:tcPr>
            <w:tcW w:w="4037" w:type="pc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执行《</w:t>
            </w:r>
            <w:r>
              <w:rPr>
                <w:rFonts w:hint="eastAsia" w:asciiTheme="minorEastAsia" w:hAnsiTheme="minorEastAsia" w:eastAsiaTheme="minorEastAsia" w:cstheme="minorEastAsia"/>
                <w:color w:val="auto"/>
                <w:sz w:val="21"/>
                <w:szCs w:val="21"/>
                <w:lang w:val="zh-CN"/>
              </w:rPr>
              <w:t>应急准备和响应</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val="zh-CN"/>
              </w:rPr>
              <w:t>程序</w:t>
            </w:r>
            <w:r>
              <w:rPr>
                <w:rFonts w:hint="eastAsia" w:asciiTheme="minorEastAsia" w:hAnsiTheme="minorEastAsia" w:eastAsiaTheme="minorEastAsia" w:cstheme="minorEastAsia"/>
                <w:color w:val="auto"/>
                <w:sz w:val="21"/>
                <w:szCs w:val="21"/>
              </w:rPr>
              <w:t>》，参加了公司组织消防演练，相关记录详见办公室相关条款。</w:t>
            </w:r>
          </w:p>
        </w:tc>
        <w:tc>
          <w:tcPr>
            <w:tcW w:w="173" w:type="pct"/>
            <w:noWrap w:val="0"/>
            <w:vAlign w:val="top"/>
          </w:tcPr>
          <w:p>
            <w:pPr>
              <w:rPr>
                <w:rFonts w:hint="eastAsia" w:asciiTheme="minorEastAsia" w:hAnsiTheme="minorEastAsia" w:eastAsiaTheme="minorEastAsia" w:cstheme="minorEastAsia"/>
                <w:color w:val="auto"/>
                <w:sz w:val="21"/>
                <w:szCs w:val="21"/>
              </w:rPr>
            </w:pPr>
          </w:p>
        </w:tc>
      </w:tr>
    </w:tbl>
    <w:p>
      <w:pPr>
        <w:pStyle w:val="4"/>
        <w:rPr>
          <w:rFonts w:hint="eastAsia" w:asciiTheme="minorEastAsia" w:hAnsiTheme="minorEastAsia" w:eastAsiaTheme="minorEastAsia" w:cstheme="minorEastAsia"/>
        </w:rPr>
      </w:pPr>
    </w:p>
    <w:p>
      <w:pPr>
        <w:pStyle w:val="4"/>
        <w:rPr>
          <w:rFonts w:hint="eastAsia" w:asciiTheme="minorEastAsia" w:hAnsiTheme="minorEastAsia" w:eastAsiaTheme="minorEastAsia" w:cstheme="minorEastAsia"/>
        </w:rPr>
      </w:pPr>
    </w:p>
    <w:p>
      <w:pPr>
        <w:pStyle w:val="4"/>
        <w:rPr>
          <w:rFonts w:hint="eastAsia" w:asciiTheme="minorEastAsia" w:hAnsiTheme="minorEastAsia" w:eastAsiaTheme="minorEastAsia" w:cstheme="minor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11"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受审核部门：员工代表</w:t>
            </w:r>
            <w:r>
              <w:rPr>
                <w:rFonts w:hint="eastAsia" w:asciiTheme="minorEastAsia" w:hAnsiTheme="minorEastAsia" w:eastAsiaTheme="minorEastAsia" w:cstheme="minorEastAsia"/>
                <w:sz w:val="21"/>
                <w:szCs w:val="21"/>
                <w:lang w:val="en-US" w:eastAsia="zh-CN"/>
              </w:rPr>
              <w:t xml:space="preserve">  李延波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val="en-US" w:eastAsia="zh-CN"/>
              </w:rPr>
              <w:t>郭帅</w:t>
            </w:r>
            <w:r>
              <w:rPr>
                <w:rFonts w:hint="eastAsia" w:asciiTheme="minorEastAsia" w:hAnsiTheme="minorEastAsia" w:eastAsiaTheme="minorEastAsia" w:cstheme="minorEastAsia"/>
                <w:sz w:val="21"/>
                <w:szCs w:val="21"/>
              </w:rPr>
              <w:t xml:space="preserve"> </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王志慧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2020年6月19日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811"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审核条款：O：5.3/5.4</w:t>
            </w:r>
            <w:r>
              <w:rPr>
                <w:rFonts w:hint="eastAsia" w:asciiTheme="minorEastAsia" w:hAnsiTheme="minorEastAsia" w:eastAsiaTheme="minorEastAsia" w:cstheme="minorEastAsia"/>
                <w:sz w:val="21"/>
                <w:szCs w:val="21"/>
                <w:lang w:val="en-US" w:eastAsia="zh-CN"/>
              </w:rPr>
              <w:t>/7.4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OHSMS内部沟通、事故调查、员工满意度调查</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O：5.3/5.4</w:t>
            </w:r>
            <w:r>
              <w:rPr>
                <w:rFonts w:hint="eastAsia" w:asciiTheme="minorEastAsia" w:hAnsiTheme="minorEastAsia" w:eastAsiaTheme="minorEastAsia" w:cstheme="minorEastAsia"/>
                <w:sz w:val="21"/>
                <w:szCs w:val="21"/>
                <w:lang w:val="en-US" w:eastAsia="zh-CN"/>
              </w:rPr>
              <w:t>/7.4</w:t>
            </w:r>
          </w:p>
        </w:tc>
        <w:tc>
          <w:tcPr>
            <w:tcW w:w="10811" w:type="dxa"/>
            <w:vAlign w:val="center"/>
          </w:tcPr>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员工代表述：</w:t>
            </w:r>
          </w:p>
          <w:p>
            <w:pPr>
              <w:keepNext w:val="0"/>
              <w:keepLines w:val="0"/>
              <w:suppressLineNumbers w:val="0"/>
              <w:tabs>
                <w:tab w:val="center" w:pos="3169"/>
              </w:tabs>
              <w:spacing w:before="0" w:beforeAutospacing="0" w:after="0" w:afterAutospacing="0" w:line="400" w:lineRule="exact"/>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参与了制定方针和目标；</w:t>
            </w:r>
            <w:r>
              <w:rPr>
                <w:rFonts w:hint="eastAsia" w:asciiTheme="minorEastAsia" w:hAnsiTheme="minorEastAsia" w:eastAsiaTheme="minorEastAsia" w:cstheme="minorEastAsia"/>
                <w:sz w:val="21"/>
                <w:szCs w:val="21"/>
                <w:highlight w:val="none"/>
              </w:rPr>
              <w:t>部门之间有需要交流的有关安全健康管理信息，在公司内部利用部门会议、宣传栏进行安全管理方针及目标、指标、管理方案及环保法律法规等内容的宣传、沟通。</w:t>
            </w:r>
            <w:r>
              <w:rPr>
                <w:rFonts w:hint="eastAsia" w:asciiTheme="minorEastAsia" w:hAnsiTheme="minorEastAsia" w:eastAsiaTheme="minorEastAsia" w:cstheme="minorEastAsia"/>
                <w:color w:val="auto"/>
                <w:sz w:val="21"/>
                <w:szCs w:val="21"/>
                <w:highlight w:val="none"/>
              </w:rPr>
              <w:t>将环境管理、劳动保护要求、安全要求和意义作为新员工岗前培训内容。</w:t>
            </w:r>
            <w:r>
              <w:rPr>
                <w:rFonts w:hint="eastAsia" w:asciiTheme="minorEastAsia" w:hAnsiTheme="minorEastAsia" w:eastAsiaTheme="minorEastAsia" w:cstheme="minorEastAsia"/>
                <w:sz w:val="21"/>
                <w:szCs w:val="21"/>
                <w:highlight w:val="none"/>
              </w:rPr>
              <w:t>查见内部交流主要通过直接面谈、会议、文件、培训方式，外部交流主要通过电话、信函方式。公司员工参与协商，员工提出参与安全知识的学习和培训，需要发放劳保用品。</w:t>
            </w:r>
          </w:p>
          <w:p>
            <w:pPr>
              <w:keepNext w:val="0"/>
              <w:keepLines w:val="0"/>
              <w:suppressLineNumbers w:val="0"/>
              <w:tabs>
                <w:tab w:val="center" w:pos="3169"/>
              </w:tabs>
              <w:spacing w:before="0" w:beforeAutospacing="0" w:after="0" w:afterAutospacing="0" w:line="400" w:lineRule="exact"/>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询问职业健康安全事务代表，了解到暂未发生员工与企业的劳动纠纷、工伤、员工投诉、员工权益争执等情况。</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审核时未发现有相关方投诉等安全违规情况发生。</w:t>
            </w: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4"/>
        <w:rPr>
          <w:rFonts w:hint="eastAsia" w:asciiTheme="minorEastAsia" w:hAnsiTheme="minorEastAsia" w:eastAsiaTheme="minorEastAsia" w:cs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D94E92"/>
    <w:rsid w:val="017E0B7C"/>
    <w:rsid w:val="02E45D57"/>
    <w:rsid w:val="0392447D"/>
    <w:rsid w:val="03B724B2"/>
    <w:rsid w:val="0519517E"/>
    <w:rsid w:val="055D6B25"/>
    <w:rsid w:val="05E449C1"/>
    <w:rsid w:val="08BC4501"/>
    <w:rsid w:val="09B61685"/>
    <w:rsid w:val="0A8E7D97"/>
    <w:rsid w:val="0C0B3EEC"/>
    <w:rsid w:val="0C156495"/>
    <w:rsid w:val="0CDD12C9"/>
    <w:rsid w:val="0DBC43A1"/>
    <w:rsid w:val="0E453F0B"/>
    <w:rsid w:val="0E93302C"/>
    <w:rsid w:val="0FD27F07"/>
    <w:rsid w:val="10D0398D"/>
    <w:rsid w:val="10F40A6F"/>
    <w:rsid w:val="1209626E"/>
    <w:rsid w:val="128926DE"/>
    <w:rsid w:val="130E0ECE"/>
    <w:rsid w:val="153313DC"/>
    <w:rsid w:val="17BD7332"/>
    <w:rsid w:val="18B86389"/>
    <w:rsid w:val="1A291322"/>
    <w:rsid w:val="1BFA44CE"/>
    <w:rsid w:val="1D150579"/>
    <w:rsid w:val="1E6158F6"/>
    <w:rsid w:val="1FE06412"/>
    <w:rsid w:val="216A0E2F"/>
    <w:rsid w:val="23147915"/>
    <w:rsid w:val="23582241"/>
    <w:rsid w:val="248D2996"/>
    <w:rsid w:val="25090793"/>
    <w:rsid w:val="259857F6"/>
    <w:rsid w:val="25E12288"/>
    <w:rsid w:val="26516C40"/>
    <w:rsid w:val="27437E6D"/>
    <w:rsid w:val="27AE16A8"/>
    <w:rsid w:val="28115123"/>
    <w:rsid w:val="29A16B4E"/>
    <w:rsid w:val="29B21F72"/>
    <w:rsid w:val="2DCE549B"/>
    <w:rsid w:val="2DEB3FFF"/>
    <w:rsid w:val="2F7216E1"/>
    <w:rsid w:val="2F95664F"/>
    <w:rsid w:val="30CC47D6"/>
    <w:rsid w:val="313B6BEC"/>
    <w:rsid w:val="32D45866"/>
    <w:rsid w:val="33DE1F85"/>
    <w:rsid w:val="34651EDF"/>
    <w:rsid w:val="3493216F"/>
    <w:rsid w:val="35300438"/>
    <w:rsid w:val="367C04DC"/>
    <w:rsid w:val="36D860EC"/>
    <w:rsid w:val="381D70EE"/>
    <w:rsid w:val="38856FC7"/>
    <w:rsid w:val="3A8E7A91"/>
    <w:rsid w:val="3D200000"/>
    <w:rsid w:val="3E591F89"/>
    <w:rsid w:val="40BD2610"/>
    <w:rsid w:val="44463DEC"/>
    <w:rsid w:val="468010D1"/>
    <w:rsid w:val="47AC139B"/>
    <w:rsid w:val="4855471E"/>
    <w:rsid w:val="48ED1D05"/>
    <w:rsid w:val="4E4112DD"/>
    <w:rsid w:val="4F8F7D35"/>
    <w:rsid w:val="507C2016"/>
    <w:rsid w:val="50D52DB8"/>
    <w:rsid w:val="514D1287"/>
    <w:rsid w:val="52A7510F"/>
    <w:rsid w:val="53275402"/>
    <w:rsid w:val="53976A0E"/>
    <w:rsid w:val="54C142FE"/>
    <w:rsid w:val="552B66BD"/>
    <w:rsid w:val="579417C6"/>
    <w:rsid w:val="57956E22"/>
    <w:rsid w:val="57C0029B"/>
    <w:rsid w:val="5A7A564E"/>
    <w:rsid w:val="5B0A1E00"/>
    <w:rsid w:val="5D2E4F78"/>
    <w:rsid w:val="5FFA3E68"/>
    <w:rsid w:val="60892E64"/>
    <w:rsid w:val="61141863"/>
    <w:rsid w:val="62213080"/>
    <w:rsid w:val="62971B53"/>
    <w:rsid w:val="62AC3ACA"/>
    <w:rsid w:val="62AE67E6"/>
    <w:rsid w:val="64B92A6F"/>
    <w:rsid w:val="67D70526"/>
    <w:rsid w:val="68E91AF8"/>
    <w:rsid w:val="6A961473"/>
    <w:rsid w:val="6E2E1F9B"/>
    <w:rsid w:val="6FDB6914"/>
    <w:rsid w:val="717C3B51"/>
    <w:rsid w:val="738A40A3"/>
    <w:rsid w:val="746F543A"/>
    <w:rsid w:val="76160ED7"/>
    <w:rsid w:val="7796382C"/>
    <w:rsid w:val="79A81217"/>
    <w:rsid w:val="7A5470DE"/>
    <w:rsid w:val="7B1C3511"/>
    <w:rsid w:val="7B732C1E"/>
    <w:rsid w:val="7C8B5906"/>
    <w:rsid w:val="7CB27E32"/>
    <w:rsid w:val="7CF6607A"/>
    <w:rsid w:val="7FCD01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2020-06-21T13:45:08Z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