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0266-2020-QEO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河北海润观宇贸易有限公司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王志慧</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Q:29.12.00</w:t>
            </w:r>
          </w:p>
          <w:p>
            <w:pPr>
              <w:spacing w:line="240" w:lineRule="exact"/>
              <w:jc w:val="center"/>
              <w:rPr>
                <w:b/>
                <w:color w:val="000000"/>
                <w:sz w:val="20"/>
                <w:szCs w:val="20"/>
              </w:rPr>
            </w:pPr>
            <w:r>
              <w:rPr>
                <w:b/>
                <w:color w:val="000000"/>
                <w:sz w:val="20"/>
                <w:szCs w:val="20"/>
              </w:rPr>
              <w:t>E:29.12.00</w:t>
            </w:r>
          </w:p>
          <w:p>
            <w:pPr>
              <w:spacing w:line="240" w:lineRule="exact"/>
              <w:jc w:val="center"/>
              <w:rPr>
                <w:b/>
                <w:color w:val="000000"/>
                <w:sz w:val="20"/>
                <w:szCs w:val="20"/>
              </w:rPr>
            </w:pPr>
            <w:r>
              <w:rPr>
                <w:b/>
                <w:color w:val="000000"/>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周涛</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pacing w:val="-4"/>
          <w:sz w:val="20"/>
          <w:szCs w:val="20"/>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bookmarkStart w:id="8" w:name="S勾选Add1"/>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w:t>
      </w:r>
      <w:bookmarkEnd w:id="8"/>
      <w:r>
        <w:rPr>
          <w:rFonts w:hint="eastAsia" w:ascii="宋体" w:hAnsi="宋体"/>
          <w:b/>
          <w:color w:val="000000"/>
          <w:sz w:val="20"/>
          <w:szCs w:val="20"/>
          <w:lang w:val="de-DE" w:eastAsia="zh-CN"/>
        </w:rPr>
        <w:t>GB/45001-2020</w:t>
      </w:r>
      <w:r>
        <w:rPr>
          <w:rFonts w:ascii="宋体" w:hAnsi="宋体"/>
          <w:b/>
          <w:color w:val="000000"/>
          <w:sz w:val="20"/>
          <w:szCs w:val="20"/>
          <w:lang w:val="de-DE"/>
        </w:rPr>
        <w:t xml:space="preserve">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lang w:val="en-US" w:eastAsia="zh-CN"/>
        </w:rPr>
        <w:t xml:space="preserve">   </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河北海润观宇贸易有限公司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河北省衡水市桃城区红旗大街792号衡水恒电物资经销处综合楼316房间</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053000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2" w:name="生产地址Add1"/>
            <w:r>
              <w:rPr>
                <w:rFonts w:ascii="宋体"/>
                <w:b/>
                <w:color w:val="000000"/>
                <w:sz w:val="20"/>
                <w:szCs w:val="20"/>
              </w:rPr>
              <w:t>河北省衡水市桃城区红旗大街792号衡水恒电物资经销处综合楼316房间</w:t>
            </w:r>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生产邮编Add1"/>
            <w:r>
              <w:rPr>
                <w:rFonts w:ascii="宋体"/>
                <w:b/>
                <w:color w:val="000000"/>
                <w:sz w:val="20"/>
                <w:szCs w:val="20"/>
              </w:rPr>
              <w:t>053000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4" w:name="联系人Add1"/>
            <w:r>
              <w:rPr>
                <w:rFonts w:ascii="宋体"/>
                <w:b/>
                <w:color w:val="000000"/>
                <w:sz w:val="20"/>
                <w:szCs w:val="20"/>
              </w:rPr>
              <w:t>郭党党</w:t>
            </w:r>
            <w:bookmarkEnd w:id="14"/>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5" w:name="联系人电话Add1"/>
            <w:r>
              <w:rPr>
                <w:rFonts w:ascii="宋体"/>
                <w:b/>
                <w:color w:val="000000"/>
                <w:sz w:val="20"/>
                <w:szCs w:val="20"/>
              </w:rPr>
              <w:t>13161488555</w:t>
            </w:r>
            <w:bookmarkEnd w:id="15"/>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6" w:name="联系人传真Add1"/>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7" w:name="法人"/>
            <w:r>
              <w:rPr>
                <w:rFonts w:ascii="宋体"/>
                <w:b/>
                <w:color w:val="000000"/>
                <w:sz w:val="20"/>
                <w:szCs w:val="20"/>
              </w:rPr>
              <w:t>郭党党</w:t>
            </w:r>
            <w:bookmarkEnd w:id="17"/>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8" w:name="管理者代表"/>
            <w:r>
              <w:rPr>
                <w:rFonts w:ascii="宋体"/>
                <w:b/>
                <w:color w:val="000000"/>
                <w:sz w:val="20"/>
                <w:szCs w:val="20"/>
              </w:rPr>
              <w:t>郭党党</w:t>
            </w:r>
            <w:bookmarkEnd w:id="18"/>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9" w:name="联系人邮箱Add1"/>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ascii="宋体" w:hAnsi="宋体"/>
                <w:b/>
                <w:color w:val="000000" w:themeColor="text1"/>
                <w:sz w:val="20"/>
                <w:szCs w:val="20"/>
              </w:rPr>
              <w:t>2019-11-05</w:t>
            </w:r>
            <w:bookmarkStart w:id="23" w:name="_GoBack"/>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0" w:name="审核范围"/>
            <w:r>
              <w:rPr>
                <w:rFonts w:ascii="宋体" w:hAnsi="宋体"/>
                <w:b/>
                <w:color w:val="000000"/>
                <w:sz w:val="20"/>
                <w:szCs w:val="20"/>
              </w:rPr>
              <w:t>Q：建材（不含砂石料）、五金产品、电器设备、橡胶制品、土工布、灯具及体育用品的销售</w:t>
            </w:r>
          </w:p>
          <w:p>
            <w:pPr>
              <w:spacing w:line="400" w:lineRule="exact"/>
              <w:rPr>
                <w:rFonts w:ascii="宋体" w:hAnsi="宋体"/>
                <w:b/>
                <w:color w:val="000000"/>
                <w:sz w:val="20"/>
                <w:szCs w:val="20"/>
              </w:rPr>
            </w:pPr>
            <w:r>
              <w:rPr>
                <w:rFonts w:ascii="宋体" w:hAnsi="宋体"/>
                <w:b/>
                <w:color w:val="000000"/>
                <w:sz w:val="20"/>
                <w:szCs w:val="20"/>
              </w:rPr>
              <w:t>E：建材（不含砂石料）、五金产品、电器设备、橡胶制品、土工布、灯具及体育用品的销售及相关环境管理活动</w:t>
            </w:r>
          </w:p>
          <w:p>
            <w:pPr>
              <w:spacing w:line="400" w:lineRule="exact"/>
              <w:rPr>
                <w:rFonts w:ascii="宋体" w:hAnsi="宋体"/>
                <w:b/>
                <w:color w:val="000000"/>
                <w:sz w:val="20"/>
                <w:szCs w:val="20"/>
              </w:rPr>
            </w:pPr>
            <w:r>
              <w:rPr>
                <w:rFonts w:ascii="宋体" w:hAnsi="宋体"/>
                <w:b/>
                <w:color w:val="000000"/>
                <w:sz w:val="20"/>
                <w:szCs w:val="20"/>
              </w:rPr>
              <w:t>O：建材（不含砂石料）、五金产品、电器设备、橡胶制品、土工布、灯具及体育用品的销售及相关职业健康安全管理活动</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1" w:name="专业代码"/>
            <w:r>
              <w:rPr>
                <w:rFonts w:ascii="宋体"/>
                <w:b/>
                <w:color w:val="000000"/>
                <w:sz w:val="20"/>
                <w:szCs w:val="20"/>
              </w:rPr>
              <w:t>Q：29.12.00</w:t>
            </w:r>
          </w:p>
          <w:p>
            <w:pPr>
              <w:spacing w:line="280" w:lineRule="exact"/>
              <w:rPr>
                <w:rFonts w:ascii="宋体"/>
                <w:b/>
                <w:color w:val="000000"/>
                <w:sz w:val="20"/>
                <w:szCs w:val="20"/>
              </w:rPr>
            </w:pPr>
            <w:r>
              <w:rPr>
                <w:rFonts w:ascii="宋体"/>
                <w:b/>
                <w:color w:val="000000"/>
                <w:sz w:val="20"/>
                <w:szCs w:val="20"/>
              </w:rPr>
              <w:t>E：29.12.00</w:t>
            </w:r>
          </w:p>
          <w:p>
            <w:pPr>
              <w:spacing w:line="280" w:lineRule="exact"/>
              <w:rPr>
                <w:rFonts w:ascii="宋体"/>
                <w:b/>
                <w:color w:val="000000"/>
                <w:sz w:val="20"/>
                <w:szCs w:val="20"/>
              </w:rPr>
            </w:pPr>
            <w:r>
              <w:rPr>
                <w:rFonts w:ascii="宋体"/>
                <w:b/>
                <w:color w:val="000000"/>
                <w:sz w:val="20"/>
                <w:szCs w:val="20"/>
              </w:rPr>
              <w:t>O：29.12.00</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 xml:space="preserve"> 手册、程序文件、目标考核、内审、管评等；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ascii="宋体" w:eastAsia="宋体"/>
          <w:b/>
          <w:color w:val="000000"/>
          <w:sz w:val="20"/>
          <w:szCs w:val="20"/>
          <w:lang w:eastAsia="zh-CN"/>
        </w:rPr>
      </w:pPr>
      <w:r>
        <w:rPr>
          <w:rFonts w:hint="eastAsia" w:ascii="宋体" w:hAnsi="宋体"/>
          <w:b/>
          <w:color w:val="000000"/>
          <w:sz w:val="20"/>
          <w:szCs w:val="20"/>
        </w:rPr>
        <w:t>部门：</w:t>
      </w:r>
      <w:r>
        <w:rPr>
          <w:rFonts w:hint="eastAsia" w:ascii="宋体" w:hAnsi="宋体"/>
          <w:b/>
          <w:color w:val="000000"/>
          <w:sz w:val="20"/>
          <w:szCs w:val="20"/>
        </w:rPr>
        <w:t>高管层、员工代表、办公室</w:t>
      </w:r>
      <w:r>
        <w:rPr>
          <w:rFonts w:hint="eastAsia" w:ascii="宋体" w:hAnsi="宋体"/>
          <w:b/>
          <w:color w:val="000000"/>
          <w:sz w:val="20"/>
          <w:szCs w:val="20"/>
          <w:lang w:eastAsia="zh-CN"/>
        </w:rPr>
        <w:t>、业务部</w:t>
      </w:r>
    </w:p>
    <w:p>
      <w:pPr>
        <w:spacing w:line="300" w:lineRule="auto"/>
        <w:ind w:firstLine="269" w:firstLineChars="134"/>
        <w:rPr>
          <w:rFonts w:hint="eastAsia" w:ascii="宋体" w:eastAsia="宋体"/>
          <w:b/>
          <w:color w:val="000000"/>
          <w:sz w:val="20"/>
          <w:szCs w:val="20"/>
          <w:u w:val="single"/>
          <w:lang w:eastAsia="zh-CN"/>
        </w:rPr>
      </w:pPr>
      <w:r>
        <w:rPr>
          <w:rFonts w:hint="eastAsia" w:ascii="宋体" w:hAnsi="宋体"/>
          <w:b/>
          <w:color w:val="000000"/>
          <w:sz w:val="20"/>
          <w:szCs w:val="20"/>
        </w:rPr>
        <w:t>场所：</w:t>
      </w:r>
      <w:r>
        <w:rPr>
          <w:rFonts w:hint="eastAsia" w:ascii="宋体" w:hAnsi="宋体"/>
          <w:b/>
          <w:color w:val="000000"/>
          <w:sz w:val="20"/>
          <w:szCs w:val="20"/>
          <w:lang w:eastAsia="zh-CN"/>
        </w:rPr>
        <w:t>办公室、仓库</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firstLine="257" w:firstLineChars="100"/>
        <w:jc w:val="both"/>
        <w:rPr>
          <w:rFonts w:hint="eastAsia" w:ascii="宋体" w:hAnsi="宋体"/>
          <w:b/>
          <w:color w:val="000000"/>
          <w:spacing w:val="-2"/>
          <w:sz w:val="26"/>
          <w:szCs w:val="26"/>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hint="eastAsia"/>
              </w:rPr>
            </w:pPr>
            <w:r>
              <w:rPr>
                <w:rFonts w:hint="eastAsia"/>
              </w:rPr>
              <w:t>产品</w:t>
            </w:r>
            <w:r>
              <w:rPr>
                <w:rFonts w:hint="eastAsia"/>
                <w:lang w:val="en-US" w:eastAsia="zh-CN"/>
              </w:rPr>
              <w:t>/</w:t>
            </w:r>
            <w:r>
              <w:rPr>
                <w:rFonts w:hint="eastAsia"/>
              </w:rPr>
              <w:t>服务：</w:t>
            </w:r>
          </w:p>
          <w:p>
            <w:pPr>
              <w:spacing w:line="320" w:lineRule="exact"/>
              <w:rPr>
                <w:rFonts w:ascii="宋体" w:hAnsi="宋体"/>
                <w:b/>
                <w:color w:val="000000" w:themeColor="text1"/>
                <w:sz w:val="20"/>
                <w:szCs w:val="20"/>
                <w:u w:val="single"/>
              </w:rPr>
            </w:pPr>
            <w:r>
              <w:rPr>
                <w:rFonts w:ascii="宋体" w:hAnsi="宋体"/>
                <w:b/>
                <w:color w:val="000000" w:themeColor="text1"/>
                <w:sz w:val="20"/>
                <w:szCs w:val="20"/>
              </w:rPr>
              <w:t>Q：建材（不含砂石料）、五金产品、电器设备、橡胶制品、土工布、灯具及体育用品的销售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E：建材（不含砂石料）、五金产品、电器设备、橡胶制品、土工布、灯具及体育用品的销售及相关环境管理活动</w:t>
            </w:r>
          </w:p>
          <w:p>
            <w:pPr>
              <w:pStyle w:val="2"/>
            </w:pPr>
            <w:r>
              <w:rPr>
                <w:rFonts w:ascii="宋体" w:hAnsi="宋体"/>
                <w:b/>
                <w:color w:val="000000" w:themeColor="text1"/>
                <w:sz w:val="20"/>
                <w:szCs w:val="20"/>
              </w:rPr>
              <w:t>O：建材（不含砂石料）、五金产品、电器设备、橡胶制品、土工布、灯具及体育用品的销售及相关职业健康安全管理活动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b/>
                <w:color w:val="000000"/>
                <w:sz w:val="20"/>
                <w:szCs w:val="20"/>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22" w:name="办公地址"/>
            <w:r>
              <w:rPr>
                <w:rFonts w:ascii="宋体" w:hAnsi="宋体"/>
                <w:b/>
                <w:color w:val="000000" w:themeColor="text1"/>
                <w:sz w:val="20"/>
                <w:szCs w:val="20"/>
              </w:rPr>
              <w:t>河北省衡水市桃城区红旗大街792号衡水恒电物资经销处综合楼316房间</w:t>
            </w:r>
            <w:bookmarkEnd w:id="22"/>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hint="eastAsia" w:ascii="宋体" w:eastAsia="宋体"/>
                <w:color w:val="000000"/>
                <w:spacing w:val="-10"/>
                <w:sz w:val="20"/>
                <w:szCs w:val="20"/>
                <w:lang w:val="en-US" w:eastAsia="zh-CN"/>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val="en-US" w:eastAsia="zh-CN"/>
              </w:rPr>
              <w:t xml:space="preserve">   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hint="default" w:ascii="宋体" w:eastAsia="宋体"/>
                <w:color w:val="000000"/>
                <w:spacing w:val="-10"/>
                <w:sz w:val="20"/>
                <w:szCs w:val="20"/>
                <w:lang w:val="en-US" w:eastAsia="zh-CN"/>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val="en-US" w:eastAsia="zh-CN"/>
              </w:rPr>
              <w:t xml:space="preserve">  </w:t>
            </w:r>
            <w:r>
              <w:rPr>
                <w:rFonts w:hint="eastAsia" w:ascii="宋体" w:hAnsi="宋体"/>
                <w:color w:val="000000"/>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tabs>
                <w:tab w:val="left" w:pos="540"/>
              </w:tabs>
              <w:spacing w:line="300" w:lineRule="exact"/>
              <w:ind w:left="201" w:hanging="210" w:hangingChars="100"/>
              <w:jc w:val="left"/>
              <w:rPr>
                <w:rFonts w:ascii="宋体"/>
                <w:color w:val="000000"/>
                <w:sz w:val="20"/>
                <w:szCs w:val="20"/>
              </w:rPr>
            </w:pPr>
            <w:r>
              <w:rPr>
                <w:rFonts w:hint="eastAsia" w:ascii="宋体" w:hAnsi="宋体" w:eastAsia="宋体" w:cs="宋体"/>
                <w:bCs/>
                <w:color w:val="auto"/>
                <w:szCs w:val="21"/>
              </w:rPr>
              <w:t>业务洽谈—合同评审—合同签订—供方评价--产品采购—验收—交付—货款结算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关键过程有：</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eastAsia="宋体"/>
                <w:color w:val="000000"/>
                <w:spacing w:val="-10"/>
                <w:sz w:val="20"/>
                <w:szCs w:val="20"/>
                <w:lang w:eastAsia="zh-CN"/>
              </w:rPr>
            </w:pPr>
            <w:r>
              <w:rPr>
                <w:rFonts w:hint="eastAsia" w:ascii="宋体" w:hAnsi="宋体"/>
                <w:color w:val="000000"/>
                <w:sz w:val="20"/>
                <w:szCs w:val="20"/>
              </w:rPr>
              <w:t>需要确认过程：</w:t>
            </w:r>
            <w:r>
              <w:rPr>
                <w:rFonts w:hint="eastAsia" w:ascii="宋体" w:hAnsi="宋体"/>
                <w:color w:val="000000"/>
                <w:sz w:val="20"/>
                <w:szCs w:val="20"/>
                <w:lang w:eastAsia="zh-CN"/>
              </w:rPr>
              <w:t>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eastAsia="zh-CN"/>
              </w:rPr>
            </w:pPr>
            <w:r>
              <w:rPr>
                <w:rFonts w:hint="eastAsia" w:ascii="宋体" w:hAnsi="宋体"/>
                <w:color w:val="000000"/>
                <w:sz w:val="20"/>
                <w:szCs w:val="20"/>
              </w:rPr>
              <w:t>外包过程有：</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sz w:val="21"/>
                <w:szCs w:val="21"/>
                <w:lang w:eastAsia="zh-CN"/>
              </w:rPr>
              <w:t>电脑、电话、一体机、</w:t>
            </w:r>
            <w:r>
              <w:rPr>
                <w:rFonts w:hint="eastAsia"/>
                <w:sz w:val="21"/>
                <w:szCs w:val="21"/>
                <w:lang w:val="en-US" w:eastAsia="zh-CN"/>
              </w:rPr>
              <w:t>办公桌椅、展板、文件柜</w:t>
            </w:r>
            <w:r>
              <w:rPr>
                <w:rFonts w:hint="eastAsia" w:cs="宋体"/>
              </w:rPr>
              <w:t>等</w:t>
            </w:r>
            <w:r>
              <w:rPr>
                <w:rFonts w:hint="eastAsia" w:cs="宋体"/>
                <w:lang w:eastAsia="zh-CN"/>
              </w:rPr>
              <w:t>，</w:t>
            </w:r>
            <w:r>
              <w:rPr>
                <w:rFonts w:hint="eastAsia"/>
                <w:sz w:val="21"/>
                <w:szCs w:val="21"/>
                <w:lang w:val="en-US" w:eastAsia="zh-CN"/>
              </w:rPr>
              <w:t>办公室</w:t>
            </w:r>
            <w:r>
              <w:rPr>
                <w:rFonts w:hint="eastAsia" w:ascii="Times New Roman" w:hAnsi="Times New Roman"/>
                <w:sz w:val="21"/>
                <w:szCs w:val="21"/>
              </w:rPr>
              <w:t>电脑、传真、打印机及网络运行正常</w:t>
            </w:r>
            <w:r>
              <w:rPr>
                <w:rFonts w:hint="eastAsia"/>
                <w:sz w:val="21"/>
                <w:szCs w:val="21"/>
                <w:lang w:eastAsia="zh-CN"/>
              </w:rPr>
              <w:t>，</w:t>
            </w:r>
            <w:r>
              <w:rPr>
                <w:rFonts w:hint="eastAsia" w:cs="宋体"/>
              </w:rPr>
              <w:t>日常维护保养包括对电脑的定期杀毒，</w:t>
            </w:r>
            <w:r>
              <w:rPr>
                <w:rFonts w:hint="eastAsia" w:cs="宋体"/>
                <w:lang w:eastAsia="zh-CN"/>
              </w:rPr>
              <w:t>其它设备日常维护。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特种设备：</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特种设备是否按规定检定□是□否</w:t>
            </w:r>
            <w:r>
              <w:rPr>
                <w:rFonts w:hint="eastAsia" w:ascii="宋体" w:hAnsi="宋体"/>
                <w:color w:val="000000"/>
                <w:sz w:val="20"/>
                <w:szCs w:val="20"/>
                <w:lang w:val="en-US" w:eastAsia="zh-CN"/>
              </w:rPr>
              <w:t xml:space="preserve">  </w:t>
            </w:r>
            <w:r>
              <w:rPr>
                <w:rFonts w:hint="eastAsia" w:ascii="宋体"/>
                <w:color w:val="000000"/>
                <w:sz w:val="20"/>
                <w:szCs w:val="20"/>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eastAsia="zh-CN"/>
              </w:rPr>
            </w:pPr>
            <w:r>
              <w:rPr>
                <w:rFonts w:hint="eastAsia" w:ascii="宋体"/>
                <w:color w:val="000000"/>
                <w:sz w:val="20"/>
                <w:szCs w:val="20"/>
              </w:rPr>
              <w:t>监视和测量设备（请简述主要监视和测量设备）：</w:t>
            </w:r>
            <w:r>
              <w:rPr>
                <w:rFonts w:hint="eastAsia" w:ascii="宋体"/>
                <w:color w:val="000000"/>
                <w:sz w:val="20"/>
                <w:szCs w:val="20"/>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检测设备是否满足要求□是□否</w:t>
            </w:r>
            <w:r>
              <w:rPr>
                <w:rFonts w:hint="eastAsia" w:ascii="宋体"/>
                <w:color w:val="000000"/>
                <w:sz w:val="20"/>
                <w:szCs w:val="20"/>
                <w:lang w:val="en-US" w:eastAsia="zh-CN"/>
              </w:rPr>
              <w:t xml:space="preserve">   </w:t>
            </w:r>
            <w:r>
              <w:rPr>
                <w:rFonts w:hint="eastAsia" w:ascii="宋体"/>
                <w:color w:val="000000"/>
                <w:sz w:val="20"/>
                <w:szCs w:val="20"/>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eastAsia="zh-CN"/>
              </w:rPr>
            </w:pPr>
            <w:r>
              <w:rPr>
                <w:rFonts w:hint="eastAsia" w:ascii="宋体"/>
                <w:color w:val="000000"/>
                <w:sz w:val="20"/>
                <w:szCs w:val="20"/>
                <w:lang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重要环境因素有：</w:t>
            </w:r>
            <w:r>
              <w:rPr>
                <w:rFonts w:hint="eastAsia" w:ascii="宋体" w:hAnsi="宋体"/>
                <w:color w:val="auto"/>
                <w:szCs w:val="21"/>
                <w:highlight w:val="none"/>
              </w:rPr>
              <w:t>潜在</w:t>
            </w:r>
            <w:r>
              <w:rPr>
                <w:rFonts w:hint="eastAsia" w:ascii="宋体" w:hAnsi="宋体"/>
                <w:color w:val="auto"/>
                <w:szCs w:val="21"/>
                <w:highlight w:val="none"/>
                <w:lang w:val="en-US" w:eastAsia="zh-CN"/>
              </w:rPr>
              <w:t>火灾等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应急预案有：</w:t>
            </w:r>
            <w:r>
              <w:rPr>
                <w:rFonts w:hint="eastAsia" w:ascii="宋体"/>
                <w:color w:val="000000"/>
                <w:sz w:val="20"/>
                <w:szCs w:val="20"/>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不可接受风险有：</w:t>
            </w:r>
            <w:r>
              <w:rPr>
                <w:rFonts w:hint="eastAsia" w:ascii="宋体" w:hAnsi="Times New Roman" w:eastAsia="宋体" w:cs="Times New Roman"/>
                <w:color w:val="000000"/>
                <w:sz w:val="20"/>
                <w:szCs w:val="20"/>
                <w:lang w:val="en-US" w:eastAsia="zh-CN"/>
              </w:rPr>
              <w:t>火灾、触电、交通事故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8</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办公室</w:t>
            </w:r>
            <w:r>
              <w:rPr>
                <w:rFonts w:hint="eastAsia" w:ascii="宋体" w:hAnsi="宋体"/>
                <w:b/>
                <w:color w:val="000000"/>
                <w:sz w:val="20"/>
                <w:szCs w:val="20"/>
                <w:lang w:val="en-US" w:eastAsia="zh-CN"/>
              </w:rPr>
              <w:t xml:space="preserve">   业务部</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重点审核过程：</w:t>
            </w:r>
            <w:r>
              <w:rPr>
                <w:rFonts w:hint="eastAsia" w:ascii="宋体" w:hAnsi="宋体"/>
                <w:b/>
                <w:color w:val="000000"/>
                <w:sz w:val="20"/>
                <w:szCs w:val="20"/>
                <w:lang w:eastAsia="zh-CN"/>
              </w:rPr>
              <w:t>销售</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办公室</w:t>
            </w:r>
            <w:r>
              <w:rPr>
                <w:rFonts w:hint="eastAsia" w:ascii="宋体" w:hAnsi="宋体"/>
                <w:b/>
                <w:color w:val="000000"/>
                <w:sz w:val="20"/>
                <w:szCs w:val="20"/>
                <w:lang w:val="en-US" w:eastAsia="zh-CN"/>
              </w:rPr>
              <w:t xml:space="preserve">   业务部</w:t>
            </w:r>
          </w:p>
          <w:p>
            <w:pPr>
              <w:spacing w:line="260" w:lineRule="exact"/>
              <w:rPr>
                <w:rFonts w:hint="default" w:ascii="宋体"/>
                <w:b/>
                <w:color w:val="000000"/>
                <w:sz w:val="20"/>
                <w:szCs w:val="20"/>
                <w:lang w:val="en-US"/>
              </w:rPr>
            </w:pPr>
            <w:r>
              <w:rPr>
                <w:rFonts w:hint="eastAsia" w:ascii="宋体" w:hAnsi="宋体"/>
                <w:b/>
                <w:color w:val="000000"/>
                <w:sz w:val="20"/>
                <w:szCs w:val="20"/>
              </w:rPr>
              <w:t>重点审核场所：</w:t>
            </w:r>
            <w:r>
              <w:rPr>
                <w:rFonts w:hint="eastAsia" w:ascii="宋体" w:hAnsi="宋体"/>
                <w:b/>
                <w:color w:val="000000"/>
                <w:sz w:val="20"/>
                <w:szCs w:val="20"/>
                <w:lang w:eastAsia="zh-CN"/>
              </w:rPr>
              <w:t>办公室</w:t>
            </w:r>
            <w:r>
              <w:rPr>
                <w:rFonts w:hint="eastAsia" w:ascii="宋体" w:hAnsi="宋体"/>
                <w:b/>
                <w:color w:val="000000"/>
                <w:sz w:val="20"/>
                <w:szCs w:val="20"/>
                <w:lang w:val="en-US" w:eastAsia="zh-CN"/>
              </w:rPr>
              <w:t xml:space="preserve">   库房</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办公室</w:t>
            </w:r>
            <w:r>
              <w:rPr>
                <w:rFonts w:hint="eastAsia" w:ascii="宋体" w:hAnsi="宋体"/>
                <w:b/>
                <w:color w:val="000000"/>
                <w:sz w:val="20"/>
                <w:szCs w:val="20"/>
                <w:lang w:val="en-US" w:eastAsia="zh-CN"/>
              </w:rPr>
              <w:t xml:space="preserve">   业务部</w:t>
            </w:r>
          </w:p>
          <w:p>
            <w:pPr>
              <w:spacing w:line="260" w:lineRule="exact"/>
              <w:rPr>
                <w:rFonts w:hint="default" w:ascii="宋体"/>
                <w:b/>
                <w:color w:val="000000"/>
                <w:sz w:val="20"/>
                <w:szCs w:val="20"/>
                <w:lang w:val="en-US"/>
              </w:rPr>
            </w:pPr>
            <w:r>
              <w:rPr>
                <w:rFonts w:hint="eastAsia" w:ascii="宋体" w:hAnsi="宋体"/>
                <w:b/>
                <w:color w:val="000000"/>
                <w:sz w:val="20"/>
                <w:szCs w:val="20"/>
              </w:rPr>
              <w:t>重点审核场所：</w:t>
            </w:r>
            <w:r>
              <w:rPr>
                <w:rFonts w:hint="eastAsia" w:ascii="宋体" w:hAnsi="宋体"/>
                <w:b/>
                <w:color w:val="000000"/>
                <w:sz w:val="20"/>
                <w:szCs w:val="20"/>
                <w:lang w:eastAsia="zh-CN"/>
              </w:rPr>
              <w:t>办公室</w:t>
            </w:r>
            <w:r>
              <w:rPr>
                <w:rFonts w:hint="eastAsia" w:ascii="宋体" w:hAnsi="宋体"/>
                <w:b/>
                <w:color w:val="000000"/>
                <w:sz w:val="20"/>
                <w:szCs w:val="20"/>
                <w:lang w:val="en-US" w:eastAsia="zh-CN"/>
              </w:rPr>
              <w:t xml:space="preserve">   库房</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 w:val="21"/>
                <w:szCs w:val="21"/>
              </w:rPr>
              <w:t>提供了内审计划、内审记录、不符合报告、内审报告等，发现了不符合项，具体内容，二阶段进一步审核。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bCs w:val="0"/>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ascii="宋体" w:hAnsi="宋体"/>
                <w:b w:val="0"/>
                <w:bCs/>
                <w:color w:val="000000"/>
                <w:sz w:val="20"/>
                <w:szCs w:val="20"/>
                <w:lang w:val="en-US" w:eastAsia="zh-CN"/>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 w:val="21"/>
                <w:szCs w:val="21"/>
              </w:rPr>
              <w:t>召开了管理评审会议，由总经理主持。提供管理评审报告，具体内容，二阶段进一步审核。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bCs w:val="0"/>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val="0"/>
                <w:bCs/>
                <w:color w:val="000000"/>
                <w:sz w:val="20"/>
                <w:szCs w:val="20"/>
                <w:lang w:val="en-US" w:eastAsia="zh-CN"/>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7" w:type="dxa"/>
            <w:gridSpan w:val="2"/>
          </w:tcPr>
          <w:p>
            <w:pPr>
              <w:widowControl/>
              <w:jc w:val="left"/>
              <w:rPr>
                <w:rFonts w:hint="eastAsia" w:ascii="宋体" w:eastAsia="宋体"/>
                <w:b/>
                <w:color w:val="000000"/>
                <w:sz w:val="20"/>
                <w:szCs w:val="20"/>
                <w:lang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vAlign w:val="top"/>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vAlign w:val="top"/>
          </w:tcPr>
          <w:p>
            <w:pPr>
              <w:widowControl/>
              <w:jc w:val="left"/>
              <w:rPr>
                <w:rFonts w:ascii="宋体"/>
                <w:b/>
                <w:color w:val="000000"/>
                <w:sz w:val="20"/>
                <w:szCs w:val="20"/>
              </w:rPr>
            </w:pPr>
          </w:p>
        </w:tc>
        <w:tc>
          <w:tcPr>
            <w:tcW w:w="708" w:type="dxa"/>
            <w:vAlign w:val="top"/>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vAlign w:val="top"/>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0052"/>
            </w:r>
            <w:r>
              <w:rPr>
                <w:rFonts w:ascii="宋体" w:hAnsi="宋体"/>
                <w:b/>
                <w:color w:val="000000"/>
                <w:sz w:val="20"/>
                <w:szCs w:val="20"/>
              </w:rPr>
              <w:t>QMS /</w:t>
            </w:r>
            <w:r>
              <w:rPr>
                <w:rFonts w:hint="eastAsia" w:ascii="宋体" w:hAnsi="宋体"/>
                <w:b/>
                <w:color w:val="000000"/>
                <w:spacing w:val="-10"/>
                <w:sz w:val="20"/>
                <w:szCs w:val="20"/>
                <w:lang w:val="de-DE"/>
              </w:rPr>
              <w:sym w:font="Wingdings 2" w:char="0052"/>
            </w:r>
            <w:r>
              <w:rPr>
                <w:rFonts w:ascii="宋体" w:hAnsi="宋体"/>
                <w:b/>
                <w:color w:val="000000"/>
                <w:sz w:val="20"/>
                <w:szCs w:val="20"/>
              </w:rPr>
              <w:t>EMS/</w:t>
            </w:r>
            <w:r>
              <w:rPr>
                <w:rFonts w:hint="eastAsia" w:ascii="宋体" w:hAnsi="宋体"/>
                <w:b/>
                <w:color w:val="000000"/>
                <w:spacing w:val="-10"/>
                <w:sz w:val="20"/>
                <w:szCs w:val="20"/>
                <w:lang w:val="de-DE"/>
              </w:rPr>
              <w:sym w:font="Wingdings 2" w:char="0052"/>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w:t>
      </w:r>
      <w:r>
        <w:rPr>
          <w:rFonts w:hint="eastAsia" w:ascii="宋体" w:hAnsi="宋体"/>
          <w:b/>
          <w:color w:val="000000"/>
          <w:sz w:val="20"/>
          <w:szCs w:val="20"/>
          <w:lang w:val="en-US" w:eastAsia="zh-CN"/>
        </w:rPr>
        <w:t xml:space="preserve">                   </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w:t>
      </w: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23956992" behindDoc="0" locked="0" layoutInCell="1" allowOverlap="1">
            <wp:simplePos x="0" y="0"/>
            <wp:positionH relativeFrom="column">
              <wp:posOffset>1774825</wp:posOffset>
            </wp:positionH>
            <wp:positionV relativeFrom="paragraph">
              <wp:posOffset>330835</wp:posOffset>
            </wp:positionV>
            <wp:extent cx="573405" cy="283210"/>
            <wp:effectExtent l="0" t="0" r="17145" b="2540"/>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6"/>
                    <a:stretch>
                      <a:fillRect/>
                    </a:stretch>
                  </pic:blipFill>
                  <pic:spPr>
                    <a:xfrm>
                      <a:off x="0" y="0"/>
                      <a:ext cx="573405" cy="28321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ascii="宋体"/>
          <w:b/>
          <w:color w:val="000000"/>
        </w:rPr>
      </w:pPr>
      <w:r>
        <w:drawing>
          <wp:anchor distT="0" distB="0" distL="114300" distR="114300" simplePos="0" relativeHeight="251658240" behindDoc="0" locked="0" layoutInCell="1" allowOverlap="1">
            <wp:simplePos x="0" y="0"/>
            <wp:positionH relativeFrom="column">
              <wp:posOffset>1802130</wp:posOffset>
            </wp:positionH>
            <wp:positionV relativeFrom="paragraph">
              <wp:posOffset>106045</wp:posOffset>
            </wp:positionV>
            <wp:extent cx="450850" cy="292735"/>
            <wp:effectExtent l="0" t="0" r="6350" b="1206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450850" cy="292735"/>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2020年6月16日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widowControl/>
        <w:jc w:val="left"/>
        <w:rPr>
          <w:rFonts w:eastAsia="隶书"/>
          <w:color w:val="000000"/>
          <w:sz w:val="32"/>
          <w:szCs w:val="32"/>
        </w:rPr>
      </w:pPr>
    </w:p>
    <w:p>
      <w:pPr>
        <w:pStyle w:val="2"/>
      </w:pPr>
    </w:p>
    <w:p>
      <w:pPr>
        <w:pStyle w:val="5"/>
        <w:pBdr>
          <w:bottom w:val="none" w:color="auto" w:sz="0" w:space="0"/>
        </w:pBdr>
        <w:ind w:right="600" w:firstLine="660"/>
        <w:jc w:val="left"/>
        <w:rPr>
          <w:rFonts w:hint="eastAsia" w:eastAsia="隶书"/>
          <w:color w:val="000000"/>
          <w:sz w:val="32"/>
          <w:szCs w:val="32"/>
          <w:lang w:eastAsia="zh-CN"/>
        </w:rPr>
      </w:pPr>
      <w:r>
        <w:rPr>
          <w:rFonts w:hint="eastAsia" w:eastAsia="隶书"/>
          <w:color w:val="000000"/>
          <w:sz w:val="32"/>
          <w:szCs w:val="32"/>
        </w:rPr>
        <w:t>第一阶段现场审核问题</w:t>
      </w:r>
      <w:r>
        <w:rPr>
          <w:rFonts w:hint="eastAsia" w:eastAsia="隶书"/>
          <w:color w:val="000000"/>
          <w:sz w:val="32"/>
          <w:szCs w:val="32"/>
          <w:lang w:eastAsia="zh-CN"/>
        </w:rPr>
        <w:t>：无</w:t>
      </w: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353AD4"/>
    <w:rsid w:val="095D5B71"/>
    <w:rsid w:val="099B62E0"/>
    <w:rsid w:val="0ADB724F"/>
    <w:rsid w:val="0D2C5FF6"/>
    <w:rsid w:val="11540AD1"/>
    <w:rsid w:val="1FC856D9"/>
    <w:rsid w:val="22794202"/>
    <w:rsid w:val="34566358"/>
    <w:rsid w:val="349F10CA"/>
    <w:rsid w:val="368071BC"/>
    <w:rsid w:val="37C856D2"/>
    <w:rsid w:val="3D1A63BD"/>
    <w:rsid w:val="3FDA5447"/>
    <w:rsid w:val="45260622"/>
    <w:rsid w:val="470603AB"/>
    <w:rsid w:val="4BCC7526"/>
    <w:rsid w:val="4C152E60"/>
    <w:rsid w:val="4D092649"/>
    <w:rsid w:val="4FBE68B3"/>
    <w:rsid w:val="524E58B7"/>
    <w:rsid w:val="530B08FB"/>
    <w:rsid w:val="53333C1F"/>
    <w:rsid w:val="54146485"/>
    <w:rsid w:val="54AA115C"/>
    <w:rsid w:val="564945D8"/>
    <w:rsid w:val="57300805"/>
    <w:rsid w:val="57613081"/>
    <w:rsid w:val="5764056B"/>
    <w:rsid w:val="5BC45FF7"/>
    <w:rsid w:val="5E0144BD"/>
    <w:rsid w:val="60D56240"/>
    <w:rsid w:val="6C9A23F1"/>
    <w:rsid w:val="6CAB43ED"/>
    <w:rsid w:val="6F2F39B3"/>
    <w:rsid w:val="6FCF0AE8"/>
    <w:rsid w:val="70CF74BB"/>
    <w:rsid w:val="70DE3532"/>
    <w:rsid w:val="71DC4E9D"/>
    <w:rsid w:val="7561224B"/>
    <w:rsid w:val="7A5C4C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Joyce</cp:lastModifiedBy>
  <dcterms:modified xsi:type="dcterms:W3CDTF">2020-06-21T06:34:37Z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