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26"/>
        <w:gridCol w:w="11708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708" w:type="dxa"/>
            <w:vAlign w:val="center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审核管理层、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郭帅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陪同人员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：李延波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8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周涛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2020.6.16</w:t>
            </w:r>
          </w:p>
        </w:tc>
        <w:tc>
          <w:tcPr>
            <w:tcW w:w="6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8" w:type="dxa"/>
            <w:vAlign w:val="center"/>
          </w:tcPr>
          <w:p>
            <w:pPr>
              <w:spacing w:beforeLines="25" w:afterLines="2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eastAsia="zh-CN"/>
              </w:rPr>
              <w:t>略</w:t>
            </w:r>
          </w:p>
        </w:tc>
        <w:tc>
          <w:tcPr>
            <w:tcW w:w="66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2" w:type="dxa"/>
            <w:vAlign w:val="top"/>
          </w:tcPr>
          <w:p>
            <w:pPr>
              <w:spacing w:beforeLines="25" w:afterLines="25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了解受审核方基本概况，资质、法人、总经理及部门设置、主管部门。</w:t>
            </w:r>
          </w:p>
        </w:tc>
        <w:tc>
          <w:tcPr>
            <w:tcW w:w="926" w:type="dxa"/>
          </w:tcPr>
          <w:p>
            <w:pPr>
              <w:spacing w:beforeLines="25" w:afterLines="25"/>
              <w:rPr>
                <w:sz w:val="24"/>
                <w:szCs w:val="24"/>
              </w:rPr>
            </w:pPr>
          </w:p>
        </w:tc>
        <w:tc>
          <w:tcPr>
            <w:tcW w:w="11708" w:type="dxa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河北海润观宇贸易有限公司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建材、五金产品、电器设备、橡胶制品、土工布、灯具及体育用品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销售的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技术企业，注册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资金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00万元人民币，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成立日期2018年6月11日，</w:t>
            </w: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环保</w:t>
            </w:r>
            <w:r>
              <w:rPr>
                <w:rFonts w:hint="eastAsia" w:ascii="宋体" w:hAnsi="宋体" w:cs="宋体"/>
                <w:sz w:val="24"/>
                <w:szCs w:val="24"/>
              </w:rPr>
              <w:t>行业以“质量优良、价格合理、服务完善”享有较高的知名度。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河北海润观宇贸易有限公司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办公地点在河北省衡水市桃城区红旗大街792号衡水恒电物资经销处综合楼316房间。营业执照统一社会信用代码：91131102MA0CDTG342.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法人：郭党党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总经理：郭帅、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部门设置：管理层、办公室、业务部，主管部门：办公室。</w:t>
            </w:r>
          </w:p>
        </w:tc>
        <w:tc>
          <w:tcPr>
            <w:tcW w:w="6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了解受审核方管理体系策划情况</w:t>
            </w:r>
          </w:p>
        </w:tc>
        <w:tc>
          <w:tcPr>
            <w:tcW w:w="926" w:type="dxa"/>
          </w:tcPr>
          <w:p>
            <w:pPr>
              <w:spacing w:beforeLines="25" w:afterLines="25"/>
              <w:rPr>
                <w:sz w:val="24"/>
                <w:szCs w:val="24"/>
              </w:rPr>
            </w:pPr>
          </w:p>
        </w:tc>
        <w:tc>
          <w:tcPr>
            <w:tcW w:w="11708" w:type="dxa"/>
          </w:tcPr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河北海润观宇贸易有限公司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的三体系文件初建于2019年11月5日，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公司建立并保持《风险管理控制程序》，明确风险识别和分析、风险的评估方式、风险的控制、及风险控制措施的跟踪，减轻风险并使风险保持在可接受水平上，达到风险控制的目的。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建立并保持《环境因素识别与评价控制程序》、《危险源的辨识、风险评价和控制措施的确定程序》，以持续进行环境/职业健康安全 因素、危险源识别、风险评价和实施必要的控制措施。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制定执行《法律、法规和其他要求控制程序》，建立获得最新的法律、法规和其他要求的渠道，确保公司范围内及施工过程中所有活动符合法律、法规和其他要求。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策划了公司的管理方针、质量、环境、安全目标、指标，具体如下: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安全为天、质量为先、守法诚信、保护环境、持续发展、顾客满意。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质量、环境、职业健康安全目标：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1、产品交付合格率98%以上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2、顾客满意度90%以上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3、火灾、触电事故为0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4、产生的固体废物100%分类、收集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重大交通责任事故为0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公司定期对上述目标指标进行了考核。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公司管理体系策划基本适宜，基本符合要求。</w:t>
            </w:r>
          </w:p>
        </w:tc>
        <w:tc>
          <w:tcPr>
            <w:tcW w:w="6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2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询问、查资料</w:t>
            </w:r>
          </w:p>
        </w:tc>
        <w:tc>
          <w:tcPr>
            <w:tcW w:w="926" w:type="dxa"/>
          </w:tcPr>
          <w:p>
            <w:pPr>
              <w:spacing w:beforeLines="25" w:afterLines="25"/>
              <w:rPr>
                <w:sz w:val="24"/>
                <w:szCs w:val="24"/>
              </w:rPr>
            </w:pPr>
          </w:p>
        </w:tc>
        <w:tc>
          <w:tcPr>
            <w:tcW w:w="11708" w:type="dxa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认证范围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审核范围"/>
            <w:r>
              <w:rPr>
                <w:rFonts w:hint="eastAsia" w:ascii="宋体" w:hAnsi="宋体" w:cs="宋体"/>
                <w:sz w:val="24"/>
                <w:szCs w:val="24"/>
              </w:rPr>
              <w:t>Q：建材（不含砂石料）、五金产品、电器设备、橡胶制品、土工布、灯具及体育用品的销售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E：建材（不含砂石料）、五金产品、电器设备、橡胶制品、土工布、灯具及体育用品的销售及相关环境管理活动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O：建材（不含砂石料）、五金产品、电器设备、橡胶制品、土工布、灯具及体育用品的销售及相关职业健康安全管理活动</w:t>
            </w:r>
            <w:bookmarkEnd w:id="0"/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经营场所：河北省衡水市桃城区红旗大街792号衡水恒电物资经销处综合楼316房间。</w:t>
            </w:r>
          </w:p>
        </w:tc>
        <w:tc>
          <w:tcPr>
            <w:tcW w:w="6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12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环境评价、安全评价、消防验收等</w:t>
            </w:r>
          </w:p>
        </w:tc>
        <w:tc>
          <w:tcPr>
            <w:tcW w:w="926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08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不涉及</w:t>
            </w:r>
            <w:bookmarkStart w:id="1" w:name="_GoBack"/>
            <w:bookmarkEnd w:id="1"/>
          </w:p>
        </w:tc>
        <w:tc>
          <w:tcPr>
            <w:tcW w:w="6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2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内部审核</w:t>
            </w:r>
          </w:p>
        </w:tc>
        <w:tc>
          <w:tcPr>
            <w:tcW w:w="926" w:type="dxa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提供《管理体系内审计划》，于2020年4月15日-16日进行了内部审核，开具1个不符合项，进行了原因分析，对不符合项进行了纠正并制定了纠正措施，有纠正措施验证评价。</w:t>
            </w:r>
          </w:p>
        </w:tc>
        <w:tc>
          <w:tcPr>
            <w:tcW w:w="6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2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管理评审；</w:t>
            </w:r>
          </w:p>
        </w:tc>
        <w:tc>
          <w:tcPr>
            <w:tcW w:w="926" w:type="dxa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提供《管理体系管理评审计划》，于2020年4月29日进行了管理评审，管理评审制定了2项改进计划，改进计划正在实施中。</w:t>
            </w:r>
          </w:p>
        </w:tc>
        <w:tc>
          <w:tcPr>
            <w:tcW w:w="66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2" w:type="dxa"/>
          </w:tcPr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财务资金投入</w:t>
            </w:r>
          </w:p>
        </w:tc>
        <w:tc>
          <w:tcPr>
            <w:tcW w:w="926" w:type="dxa"/>
          </w:tcPr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8" w:type="dxa"/>
          </w:tcPr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经了解，公司三体系运行大约5万元左右。</w:t>
            </w:r>
          </w:p>
        </w:tc>
        <w:tc>
          <w:tcPr>
            <w:tcW w:w="663" w:type="dxa"/>
          </w:tcPr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F0370"/>
    <w:rsid w:val="1C0F4350"/>
    <w:rsid w:val="3DFF2C79"/>
    <w:rsid w:val="745609FE"/>
    <w:rsid w:val="76180BBE"/>
    <w:rsid w:val="7F7B7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2020-06-21T13:36:56Z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