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10614-2023-Q-2024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长春未来已蓝科技有限公司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2024-N1QMS-1304083</w:t>
            </w:r>
          </w:p>
        </w:tc>
        <w:tc>
          <w:tcPr>
            <w:tcW w:w="3145" w:type="dxa"/>
            <w:vAlign w:val="center"/>
          </w:tcPr>
          <w:p w:rsidR="00F9189D">
            <w:pPr>
              <w:spacing w:line="360" w:lineRule="auto"/>
              <w:jc w:val="center"/>
              <w:rPr>
                <w:b/>
                <w:szCs w:val="21"/>
              </w:rPr>
            </w:pPr>
            <w:r>
              <w:rPr>
                <w:b/>
                <w:szCs w:val="21"/>
              </w:rPr>
              <w:t>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2024年09月26日 上午至2024年09月26日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长春市二道区四通路传化公路港园区内汽修区2号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吉林省长春市二道区四通路传化公路港园区内汽修区2号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