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rPr>
              <w:t>肖海军</w:t>
            </w:r>
            <w:r>
              <w:rPr>
                <w:rFonts w:hAnsiTheme="minorEastAsia" w:eastAsiaTheme="minorEastAsia"/>
                <w:sz w:val="24"/>
                <w:szCs w:val="24"/>
              </w:rPr>
              <w:t>、</w:t>
            </w:r>
            <w:r>
              <w:rPr>
                <w:rFonts w:hint="eastAsia" w:hAnsiTheme="minorEastAsia" w:eastAsiaTheme="minorEastAsia"/>
                <w:sz w:val="24"/>
                <w:szCs w:val="24"/>
              </w:rPr>
              <w:t xml:space="preserve">唐利花   </w:t>
            </w:r>
            <w:r>
              <w:rPr>
                <w:rFonts w:hAnsiTheme="minorEastAsia" w:eastAsiaTheme="minorEastAsia"/>
                <w:sz w:val="24"/>
                <w:szCs w:val="24"/>
              </w:rPr>
              <w:t>陪同人员：</w:t>
            </w:r>
            <w:r>
              <w:rPr>
                <w:rFonts w:hint="eastAsia" w:hAnsiTheme="minorEastAsia" w:eastAsiaTheme="minorEastAsia"/>
                <w:sz w:val="24"/>
                <w:szCs w:val="24"/>
              </w:rPr>
              <w:t>邓旺刚</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eastAsiaTheme="minorEastAsia"/>
                <w:sz w:val="24"/>
                <w:szCs w:val="24"/>
              </w:rPr>
            </w:pPr>
            <w:r>
              <w:rPr>
                <w:rFonts w:hAnsiTheme="minorEastAsia" w:eastAsiaTheme="minorEastAsia"/>
                <w:sz w:val="24"/>
                <w:szCs w:val="24"/>
              </w:rPr>
              <w:t>审核员：文波</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15</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spacing w:line="360" w:lineRule="auto"/>
              <w:rPr>
                <w:rFonts w:hAnsiTheme="minorEastAsia" w:eastAsiaTheme="minorEastAsia"/>
                <w:sz w:val="24"/>
                <w:szCs w:val="24"/>
              </w:rPr>
            </w:pPr>
            <w:r>
              <w:rPr>
                <w:rFonts w:hint="eastAsia" w:hAnsiTheme="minorEastAsia" w:eastAsiaTheme="minorEastAsia"/>
                <w:sz w:val="24"/>
                <w:szCs w:val="24"/>
              </w:rPr>
              <w:t>QEO:4.1理解组织及其环境、4.2理解相关方的需求和期望、4.3 确定管理体系的范围、4.4质量/环境管理体系及其过程、5.1领导作用和承诺、5.2质量/环境方针、5.3组织的岗位、职责和权限、O5.4协商与参与、6.1应对风险和机遇的措施、6.2质量/环境/安全目标及其实现的策划、Q6.3变更的策划、9.3管理评审、10.1改进、10.3持续改进，</w:t>
            </w:r>
          </w:p>
          <w:p>
            <w:pPr>
              <w:spacing w:line="360" w:lineRule="auto"/>
              <w:rPr>
                <w:rFonts w:hAnsiTheme="minorEastAsia" w:eastAsiaTheme="minorEastAsia"/>
                <w:sz w:val="24"/>
                <w:szCs w:val="24"/>
              </w:rPr>
            </w:pPr>
            <w:r>
              <w:rPr>
                <w:rFonts w:hint="eastAsia" w:hAnsiTheme="minorEastAsia" w:eastAsiaTheme="minorEastAsia"/>
                <w:sz w:val="24"/>
                <w:szCs w:val="24"/>
                <w:highlight w:val="none"/>
              </w:rPr>
              <w:t>标准/规范/法规的执行情况、上次审核不符合项的验证、认证证书、标志的使用情况、投诉或事故、监督抽查情况、体系变动</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rPr>
              <w:t>肖</w:t>
            </w:r>
            <w:bookmarkStart w:id="0" w:name="_GoBack"/>
            <w:r>
              <w:rPr>
                <w:rFonts w:hint="eastAsia" w:hAnsiTheme="minorEastAsia" w:eastAsiaTheme="minorEastAsia"/>
                <w:sz w:val="24"/>
                <w:szCs w:val="24"/>
              </w:rPr>
              <w:t>海军</w:t>
            </w:r>
            <w:bookmarkEnd w:id="0"/>
            <w:r>
              <w:rPr>
                <w:rFonts w:hAnsiTheme="minorEastAsia" w:eastAsiaTheme="minorEastAsia"/>
                <w:sz w:val="24"/>
                <w:szCs w:val="24"/>
              </w:rPr>
              <w:t>，管代：</w:t>
            </w:r>
            <w:r>
              <w:rPr>
                <w:rFonts w:hint="eastAsia" w:hAnsiTheme="minorEastAsia" w:eastAsiaTheme="minorEastAsia"/>
                <w:sz w:val="24"/>
                <w:szCs w:val="24"/>
              </w:rPr>
              <w:t>唐利花</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rPr>
              <w:t>09</w:t>
            </w:r>
            <w:r>
              <w:rPr>
                <w:rFonts w:hAnsiTheme="minorEastAsia" w:eastAsiaTheme="minorEastAsia"/>
                <w:sz w:val="24"/>
                <w:szCs w:val="24"/>
              </w:rPr>
              <w:t>年</w:t>
            </w:r>
            <w:r>
              <w:rPr>
                <w:rFonts w:hint="eastAsia" w:eastAsiaTheme="minorEastAsia"/>
                <w:sz w:val="24"/>
                <w:szCs w:val="24"/>
              </w:rPr>
              <w:t>4</w:t>
            </w:r>
            <w:r>
              <w:rPr>
                <w:rFonts w:hAnsiTheme="minorEastAsia" w:eastAsiaTheme="minorEastAsia"/>
                <w:sz w:val="24"/>
                <w:szCs w:val="24"/>
              </w:rPr>
              <w:t>月</w:t>
            </w:r>
            <w:r>
              <w:rPr>
                <w:rFonts w:hint="eastAsia" w:eastAsiaTheme="minorEastAsia"/>
                <w:sz w:val="24"/>
                <w:szCs w:val="24"/>
              </w:rPr>
              <w:t>28</w:t>
            </w:r>
            <w:r>
              <w:rPr>
                <w:rFonts w:hAnsiTheme="minorEastAsia" w:eastAsiaTheme="minorEastAsia"/>
                <w:sz w:val="24"/>
                <w:szCs w:val="24"/>
              </w:rPr>
              <w:t>日，法人代表：</w:t>
            </w:r>
            <w:r>
              <w:rPr>
                <w:rFonts w:hint="eastAsia" w:hAnsiTheme="minorEastAsia" w:eastAsiaTheme="minorEastAsia"/>
                <w:sz w:val="24"/>
                <w:szCs w:val="24"/>
                <w:lang w:val="en-US" w:eastAsia="zh-CN"/>
              </w:rPr>
              <w:t>肖</w:t>
            </w:r>
            <w:r>
              <w:rPr>
                <w:rFonts w:hAnsiTheme="minorEastAsia" w:eastAsiaTheme="minorEastAsia"/>
                <w:sz w:val="24"/>
                <w:szCs w:val="24"/>
              </w:rPr>
              <w:t>海军，</w:t>
            </w:r>
            <w:r>
              <w:rPr>
                <w:rFonts w:hAnsiTheme="minorEastAsia" w:eastAsiaTheme="minorEastAsia"/>
                <w:color w:val="000000"/>
                <w:sz w:val="24"/>
                <w:szCs w:val="24"/>
              </w:rPr>
              <w:t>公司注册资本</w:t>
            </w:r>
            <w:r>
              <w:rPr>
                <w:rFonts w:hint="eastAsia" w:eastAsiaTheme="minorEastAsia"/>
                <w:color w:val="000000"/>
                <w:sz w:val="24"/>
                <w:szCs w:val="24"/>
              </w:rPr>
              <w:t>100</w:t>
            </w:r>
            <w:r>
              <w:rPr>
                <w:rFonts w:hAnsiTheme="minorEastAsia" w:eastAsiaTheme="minorEastAsia"/>
                <w:color w:val="000000"/>
                <w:sz w:val="24"/>
                <w:szCs w:val="24"/>
              </w:rPr>
              <w:t>万元。</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注册地址：</w:t>
            </w:r>
            <w:r>
              <w:rPr>
                <w:rFonts w:hint="eastAsia" w:hAnsiTheme="minorEastAsia" w:eastAsiaTheme="minorEastAsia"/>
                <w:sz w:val="24"/>
                <w:szCs w:val="24"/>
              </w:rPr>
              <w:t>江西省赣州市南康区经济开发区龙岭家具产业园</w:t>
            </w:r>
            <w:r>
              <w:rPr>
                <w:rFonts w:hAnsiTheme="minorEastAsia" w:eastAsiaTheme="minorEastAsia"/>
                <w:color w:val="000000"/>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经营范围：</w:t>
            </w:r>
            <w:r>
              <w:rPr>
                <w:rFonts w:hint="eastAsia" w:hAnsiTheme="minorEastAsia" w:eastAsiaTheme="minorEastAsia"/>
                <w:color w:val="000000"/>
                <w:sz w:val="24"/>
                <w:szCs w:val="24"/>
              </w:rPr>
              <w:t>软体家具、床垫、实木家具、板式家具生产、加工、销售、网络销售；家具研发、设计；货物进出口贸易（依法须经批准的项目,经相关部门批准后方可开展经营活动）。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组织机构：行政部、生产部、质检部、供销部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据管代唐利花介绍，公司管理体系运行已满</w:t>
            </w:r>
            <w:r>
              <w:rPr>
                <w:rFonts w:hint="eastAsia" w:eastAsiaTheme="minorEastAsia"/>
                <w:sz w:val="24"/>
                <w:szCs w:val="24"/>
              </w:rPr>
              <w:t>6</w:t>
            </w:r>
            <w:r>
              <w:rPr>
                <w:rFonts w:hAnsiTheme="minorEastAsia" w:eastAsiaTheme="minorEastAsia"/>
                <w:sz w:val="24"/>
                <w:szCs w:val="24"/>
              </w:rPr>
              <w:t>个月以上。对部门及其职责进行了规定，设有</w:t>
            </w:r>
            <w:r>
              <w:rPr>
                <w:rFonts w:hAnsiTheme="minorEastAsia" w:eastAsiaTheme="minorEastAsia"/>
                <w:color w:val="000000"/>
                <w:sz w:val="24"/>
                <w:szCs w:val="24"/>
              </w:rPr>
              <w:t>行政部、生产部、质检部、供销部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总经理肖海军，主要负责公司全面工作，</w:t>
            </w:r>
            <w:r>
              <w:rPr>
                <w:rFonts w:hAnsiTheme="minorEastAsia" w:eastAsiaTheme="minorEastAsia"/>
                <w:color w:val="000000"/>
                <w:sz w:val="24"/>
                <w:szCs w:val="24"/>
              </w:rPr>
              <w:t>日常主要侧重于公司财务及销售工作，根据体系的要求，负责组织制定方针、目标，管理评审等工作；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19</w:t>
            </w:r>
            <w:r>
              <w:rPr>
                <w:rFonts w:hAnsiTheme="minorEastAsia" w:eastAsiaTheme="minorEastAsia"/>
                <w:sz w:val="24"/>
                <w:szCs w:val="24"/>
              </w:rPr>
              <w:t>年</w:t>
            </w:r>
            <w:r>
              <w:rPr>
                <w:rFonts w:hint="eastAsia" w:eastAsiaTheme="minorEastAsia"/>
                <w:sz w:val="24"/>
                <w:szCs w:val="24"/>
              </w:rPr>
              <w:t>12</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eastAsiaTheme="minorEastAsia"/>
                <w:sz w:val="24"/>
                <w:szCs w:val="24"/>
              </w:rPr>
              <w:t>20</w:t>
            </w:r>
            <w:r>
              <w:rPr>
                <w:rFonts w:hint="eastAsia" w:eastAsiaTheme="minorEastAsia"/>
                <w:sz w:val="24"/>
                <w:szCs w:val="24"/>
              </w:rPr>
              <w:t>19</w:t>
            </w:r>
            <w:r>
              <w:rPr>
                <w:rFonts w:eastAsiaTheme="minorEastAsia"/>
                <w:sz w:val="24"/>
                <w:szCs w:val="24"/>
              </w:rPr>
              <w:t>.</w:t>
            </w:r>
            <w:r>
              <w:rPr>
                <w:rFonts w:hint="eastAsia" w:eastAsiaTheme="minorEastAsia"/>
                <w:sz w:val="24"/>
                <w:szCs w:val="24"/>
              </w:rPr>
              <w:t>12</w:t>
            </w:r>
            <w:r>
              <w:rPr>
                <w:rFonts w:eastAsiaTheme="minorEastAsia"/>
                <w:sz w:val="24"/>
                <w:szCs w:val="24"/>
              </w:rPr>
              <w:t>.</w:t>
            </w:r>
            <w:r>
              <w:rPr>
                <w:rFonts w:hint="eastAsia" w:eastAsiaTheme="minorEastAsia"/>
                <w:sz w:val="24"/>
                <w:szCs w:val="24"/>
              </w:rPr>
              <w:t>10</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rPr>
              <w:t>19</w:t>
            </w:r>
            <w:r>
              <w:rPr>
                <w:rFonts w:eastAsiaTheme="minorEastAsia"/>
                <w:sz w:val="24"/>
                <w:szCs w:val="24"/>
              </w:rPr>
              <w:t>.</w:t>
            </w:r>
            <w:r>
              <w:rPr>
                <w:rFonts w:hint="eastAsia" w:eastAsiaTheme="minorEastAsia"/>
                <w:sz w:val="24"/>
                <w:szCs w:val="24"/>
              </w:rPr>
              <w:t>12</w:t>
            </w:r>
            <w:r>
              <w:rPr>
                <w:rFonts w:eastAsiaTheme="minorEastAsia"/>
                <w:sz w:val="24"/>
                <w:szCs w:val="24"/>
              </w:rPr>
              <w:t>.</w:t>
            </w:r>
            <w:r>
              <w:rPr>
                <w:rFonts w:hint="eastAsia" w:eastAsiaTheme="minorEastAsia"/>
                <w:sz w:val="24"/>
                <w:szCs w:val="24"/>
              </w:rPr>
              <w:t>10</w:t>
            </w:r>
            <w:r>
              <w:rPr>
                <w:rFonts w:hAnsiTheme="minorEastAsia" w:eastAsiaTheme="minorEastAsia"/>
                <w:sz w:val="24"/>
                <w:szCs w:val="24"/>
              </w:rPr>
              <w:t>实施；总经理肖海军。任命管代：唐利花；职业健康安全事务代表：邓旺刚，现有手册从发布实施以来已经运行</w:t>
            </w:r>
            <w:r>
              <w:rPr>
                <w:rFonts w:hint="eastAsia" w:eastAsiaTheme="minorEastAsia"/>
                <w:sz w:val="24"/>
                <w:szCs w:val="24"/>
              </w:rPr>
              <w:t>6</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hAnsiTheme="minorEastAsia" w:eastAsiaTheme="minorEastAsia"/>
                <w:sz w:val="24"/>
                <w:szCs w:val="24"/>
              </w:rPr>
              <w:t>肖海军</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QEO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beforeLines="30" w:afterLines="30" w:line="288" w:lineRule="auto"/>
              <w:ind w:firstLine="480" w:firstLineChars="200"/>
              <w:rPr>
                <w:rFonts w:eastAsiaTheme="minorEastAsia"/>
                <w:color w:val="000000"/>
                <w:sz w:val="24"/>
                <w:szCs w:val="24"/>
              </w:rPr>
            </w:pPr>
            <w:r>
              <w:rPr>
                <w:rFonts w:hint="eastAsia" w:eastAsiaTheme="minorEastAsia"/>
                <w:color w:val="000000"/>
                <w:sz w:val="24"/>
                <w:szCs w:val="24"/>
              </w:rPr>
              <w:t>Q：软体床、软体沙发、弹簧软床垫的生产</w:t>
            </w:r>
          </w:p>
          <w:p>
            <w:pPr>
              <w:spacing w:beforeLines="30" w:afterLines="30" w:line="288" w:lineRule="auto"/>
              <w:ind w:firstLine="480" w:firstLineChars="200"/>
              <w:rPr>
                <w:rFonts w:eastAsiaTheme="minorEastAsia"/>
                <w:color w:val="000000"/>
                <w:sz w:val="24"/>
                <w:szCs w:val="24"/>
              </w:rPr>
            </w:pPr>
            <w:r>
              <w:rPr>
                <w:rFonts w:hint="eastAsia" w:eastAsiaTheme="minorEastAsia"/>
                <w:color w:val="000000"/>
                <w:sz w:val="24"/>
                <w:szCs w:val="24"/>
              </w:rPr>
              <w:t>E：软体床、软体沙发、弹簧软床垫的生产所涉及场所的相关环境管理活动</w:t>
            </w:r>
          </w:p>
          <w:p>
            <w:pPr>
              <w:spacing w:beforeLines="30" w:afterLines="30" w:line="288" w:lineRule="auto"/>
              <w:ind w:firstLine="480" w:firstLineChars="200"/>
              <w:rPr>
                <w:rFonts w:eastAsiaTheme="minorEastAsia"/>
                <w:color w:val="000000"/>
                <w:sz w:val="24"/>
                <w:szCs w:val="24"/>
              </w:rPr>
            </w:pPr>
            <w:r>
              <w:rPr>
                <w:rFonts w:hint="eastAsia" w:eastAsiaTheme="minorEastAsia"/>
                <w:color w:val="000000"/>
                <w:sz w:val="24"/>
                <w:szCs w:val="24"/>
              </w:rPr>
              <w:t>O：软体床、软体沙发、弹簧软床垫的生产所涉及的职业健康安全管理活动</w:t>
            </w:r>
          </w:p>
          <w:p>
            <w:pPr>
              <w:spacing w:beforeLines="30" w:afterLines="30" w:line="288" w:lineRule="auto"/>
              <w:ind w:firstLine="480" w:firstLineChars="200"/>
              <w:rPr>
                <w:rFonts w:eastAsiaTheme="minorEastAsia"/>
                <w:color w:val="FF0000"/>
                <w:sz w:val="24"/>
                <w:szCs w:val="24"/>
              </w:rPr>
            </w:pPr>
            <w:r>
              <w:rPr>
                <w:rFonts w:hAnsiTheme="minorEastAsia" w:eastAsiaTheme="minorEastAsia"/>
                <w:sz w:val="24"/>
                <w:szCs w:val="24"/>
              </w:rPr>
              <w:t>体系自运行以来范围没有变化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企业已经制定质量、环境、安全方针，具体包含在《管理手册》，公司的质量、环境、职业健康安全方针是：</w:t>
            </w:r>
          </w:p>
          <w:p>
            <w:pPr>
              <w:spacing w:line="400" w:lineRule="exact"/>
              <w:ind w:firstLine="560" w:firstLineChars="200"/>
              <w:rPr>
                <w:rFonts w:ascii="宋体" w:hAnsi="宋体"/>
                <w:spacing w:val="20"/>
                <w:sz w:val="24"/>
              </w:rPr>
            </w:pPr>
            <w:r>
              <w:rPr>
                <w:rFonts w:hint="eastAsia" w:ascii="宋体" w:hAnsi="宋体"/>
                <w:spacing w:val="20"/>
                <w:sz w:val="24"/>
              </w:rPr>
              <w:t xml:space="preserve">质量至上、持续创新、诚实守信、顾客至上； </w:t>
            </w:r>
          </w:p>
          <w:p>
            <w:pPr>
              <w:spacing w:line="400" w:lineRule="exact"/>
              <w:ind w:firstLine="560" w:firstLineChars="200"/>
              <w:rPr>
                <w:rFonts w:ascii="宋体" w:hAnsi="宋体"/>
                <w:spacing w:val="20"/>
                <w:sz w:val="24"/>
              </w:rPr>
            </w:pPr>
            <w:r>
              <w:rPr>
                <w:rFonts w:hint="eastAsia" w:ascii="宋体" w:hAnsi="宋体"/>
                <w:spacing w:val="20"/>
                <w:sz w:val="24"/>
              </w:rPr>
              <w:t>预防为主，降低风险；遵章守法，创造和谐。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肖海军，管代唐利花，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6.1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一、质量目标：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1、成品一次交验合格率≥98%；</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 xml:space="preserve">2、顾客满意度≥96分 ； </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二、环境/职业健康安全目标：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1、固废分类处置率100%；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2、噪声\粉尘达标排放；</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 xml:space="preserve"> 3、职业病发生率为0；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 xml:space="preserve"> 4、火灾事故为0；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 xml:space="preserve"> 5、触电机械伤害事故为0；</w:t>
            </w:r>
          </w:p>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hAnsiTheme="minorEastAsia" w:eastAsiaTheme="minorEastAsia"/>
                <w:color w:val="000000"/>
                <w:sz w:val="24"/>
                <w:szCs w:val="24"/>
              </w:rPr>
              <w:t>环境</w:t>
            </w:r>
            <w:r>
              <w:rPr>
                <w:rFonts w:eastAsiaTheme="minorEastAsia"/>
                <w:color w:val="000000"/>
                <w:sz w:val="24"/>
                <w:szCs w:val="24"/>
              </w:rPr>
              <w:t>\</w:t>
            </w:r>
            <w:r>
              <w:rPr>
                <w:rFonts w:hAnsiTheme="minorEastAsia" w:eastAsiaTheme="minorEastAsia"/>
                <w:color w:val="000000"/>
                <w:sz w:val="24"/>
                <w:szCs w:val="24"/>
              </w:rPr>
              <w:t>职业健康安全目标分解考核表，</w:t>
            </w:r>
            <w:r>
              <w:rPr>
                <w:rFonts w:eastAsiaTheme="minorEastAsia"/>
                <w:color w:val="000000"/>
                <w:sz w:val="24"/>
                <w:szCs w:val="24"/>
              </w:rPr>
              <w:t>20</w:t>
            </w:r>
            <w:r>
              <w:rPr>
                <w:rFonts w:hint="eastAsia" w:eastAsiaTheme="minorEastAsia"/>
                <w:color w:val="000000"/>
                <w:sz w:val="24"/>
                <w:szCs w:val="24"/>
              </w:rPr>
              <w:t>20</w:t>
            </w:r>
            <w:r>
              <w:rPr>
                <w:rFonts w:eastAsiaTheme="minorEastAsia"/>
                <w:color w:val="000000"/>
                <w:sz w:val="24"/>
                <w:szCs w:val="24"/>
              </w:rPr>
              <w:t>.</w:t>
            </w:r>
            <w:r>
              <w:rPr>
                <w:rFonts w:hint="eastAsia" w:eastAsiaTheme="minorEastAsia"/>
                <w:color w:val="000000"/>
                <w:sz w:val="24"/>
                <w:szCs w:val="24"/>
              </w:rPr>
              <w:t>3</w:t>
            </w:r>
            <w:r>
              <w:rPr>
                <w:rFonts w:eastAsiaTheme="minorEastAsia"/>
                <w:color w:val="000000"/>
                <w:sz w:val="24"/>
                <w:szCs w:val="24"/>
              </w:rPr>
              <w:t>.</w:t>
            </w:r>
            <w:r>
              <w:rPr>
                <w:rFonts w:hint="eastAsia" w:eastAsiaTheme="minorEastAsia"/>
                <w:color w:val="000000"/>
                <w:sz w:val="24"/>
                <w:szCs w:val="24"/>
              </w:rPr>
              <w:t>2、2020.6.10日已完成，具体见各部门审核记录</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2020.</w:t>
            </w:r>
            <w:r>
              <w:rPr>
                <w:rFonts w:hint="eastAsia" w:eastAsiaTheme="minorEastAsia"/>
                <w:sz w:val="24"/>
                <w:szCs w:val="24"/>
              </w:rPr>
              <w:t>3</w:t>
            </w:r>
            <w:r>
              <w:rPr>
                <w:rFonts w:eastAsiaTheme="minorEastAsia"/>
                <w:sz w:val="24"/>
                <w:szCs w:val="24"/>
              </w:rPr>
              <w:t>.</w:t>
            </w:r>
            <w:r>
              <w:rPr>
                <w:rFonts w:hint="eastAsia" w:eastAsiaTheme="minorEastAsia"/>
                <w:sz w:val="24"/>
                <w:szCs w:val="24"/>
              </w:rPr>
              <w:t>30</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，由肖海军签发；内容包括；评审目的、评审时间、参加部门人员、评审输入内容等。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 xml:space="preserve">   自体系建立以来，公司的质量管理体系运行全面展开，通过新版的运行，收到良好的效果，经评审认为本公司的质量管理体系的建立和运行是充分的、适宜的、有效的</w:t>
            </w:r>
            <w:r>
              <w:rPr>
                <w:rFonts w:hAnsiTheme="minorEastAsia" w:eastAsiaTheme="minorEastAsia"/>
                <w:sz w:val="24"/>
                <w:szCs w:val="24"/>
              </w:rPr>
              <w:t>。提出了</w:t>
            </w:r>
            <w:r>
              <w:rPr>
                <w:rFonts w:hint="eastAsia" w:eastAsiaTheme="minorEastAsia"/>
                <w:sz w:val="24"/>
                <w:szCs w:val="24"/>
              </w:rPr>
              <w:t>如下</w:t>
            </w:r>
            <w:r>
              <w:rPr>
                <w:rFonts w:hAnsiTheme="minorEastAsia" w:eastAsiaTheme="minorEastAsia"/>
                <w:sz w:val="24"/>
                <w:szCs w:val="24"/>
              </w:rPr>
              <w:t>改进措施</w:t>
            </w:r>
            <w:r>
              <w:rPr>
                <w:rFonts w:eastAsiaTheme="minorEastAsia"/>
                <w:sz w:val="24"/>
                <w:szCs w:val="24"/>
              </w:rPr>
              <w:t>:</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2）进一步组织对相关的法律、法规、规程和规范的学习，以增强广大技术人员的质量意识环境保护意识；</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3）加强对风险管控知识的学习，由行政部进行调研，并制定详细的实施计划；</w:t>
            </w:r>
          </w:p>
          <w:p>
            <w:pPr>
              <w:spacing w:beforeLines="30" w:afterLines="30" w:line="288" w:lineRule="auto"/>
              <w:ind w:firstLine="480" w:firstLineChars="200"/>
              <w:rPr>
                <w:rFonts w:eastAsiaTheme="minorEastAsia"/>
                <w:color w:val="000000"/>
                <w:sz w:val="24"/>
                <w:szCs w:val="24"/>
              </w:rPr>
            </w:pPr>
            <w:r>
              <w:rPr>
                <w:rFonts w:hint="eastAsia" w:eastAsiaTheme="minorEastAsia"/>
                <w:sz w:val="24"/>
                <w:szCs w:val="24"/>
              </w:rPr>
              <w:t>4）节能降耗，减少生产车间和办公区域资源能源和办公器材消耗量，减排增效，确保环境卫生。</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QEO10.1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vAlign w:val="center"/>
          </w:tcPr>
          <w:p>
            <w:pPr>
              <w:rPr>
                <w:rFonts w:hAnsi="宋体"/>
                <w:sz w:val="24"/>
                <w:szCs w:val="24"/>
                <w:highlight w:val="none"/>
              </w:rPr>
            </w:pPr>
            <w:r>
              <w:rPr>
                <w:rFonts w:hint="eastAsia" w:hAnsi="宋体"/>
                <w:sz w:val="24"/>
                <w:szCs w:val="24"/>
                <w:highlight w:val="none"/>
              </w:rPr>
              <w:t>标准/规范/法规的执行情况</w:t>
            </w:r>
          </w:p>
        </w:tc>
        <w:tc>
          <w:tcPr>
            <w:tcW w:w="1311" w:type="dxa"/>
            <w:vAlign w:val="center"/>
          </w:tcPr>
          <w:p>
            <w:pPr>
              <w:rPr>
                <w:sz w:val="24"/>
                <w:szCs w:val="24"/>
                <w:highlight w:val="none"/>
              </w:rPr>
            </w:pPr>
          </w:p>
        </w:tc>
        <w:tc>
          <w:tcPr>
            <w:tcW w:w="10004" w:type="dxa"/>
            <w:vAlign w:val="center"/>
          </w:tcPr>
          <w:p>
            <w:pPr>
              <w:snapToGrid w:val="0"/>
              <w:spacing w:line="360" w:lineRule="auto"/>
              <w:ind w:firstLine="480" w:firstLineChars="200"/>
              <w:rPr>
                <w:rFonts w:hAnsi="宋体"/>
                <w:color w:val="000000"/>
                <w:sz w:val="24"/>
                <w:szCs w:val="24"/>
                <w:highlight w:val="none"/>
              </w:rPr>
            </w:pPr>
            <w:r>
              <w:rPr>
                <w:rFonts w:hAnsi="宋体"/>
                <w:color w:val="000000"/>
                <w:sz w:val="24"/>
                <w:szCs w:val="24"/>
                <w:highlight w:val="none"/>
              </w:rPr>
              <w:t>未发生重大质量事故、安全事故、准守法律法规要求。</w:t>
            </w:r>
          </w:p>
        </w:tc>
        <w:tc>
          <w:tcPr>
            <w:tcW w:w="1585" w:type="dxa"/>
          </w:tcPr>
          <w:p>
            <w:pPr>
              <w:rPr>
                <w:rFonts w:eastAsiaTheme="minorEastAsia"/>
                <w:sz w:val="24"/>
                <w:szCs w:val="24"/>
                <w:highlight w:val="none"/>
              </w:rPr>
            </w:pPr>
            <w:r>
              <w:rPr>
                <w:rFonts w:eastAsiaTheme="minorEastAsia"/>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vAlign w:val="center"/>
          </w:tcPr>
          <w:p>
            <w:pPr>
              <w:rPr>
                <w:rFonts w:hAnsi="宋体"/>
                <w:sz w:val="24"/>
                <w:szCs w:val="24"/>
                <w:highlight w:val="none"/>
              </w:rPr>
            </w:pPr>
            <w:r>
              <w:rPr>
                <w:rFonts w:hint="eastAsia" w:hAnsi="宋体"/>
                <w:sz w:val="24"/>
                <w:szCs w:val="24"/>
                <w:highlight w:val="none"/>
              </w:rPr>
              <w:t>上次审核不符合项的验证</w:t>
            </w:r>
          </w:p>
        </w:tc>
        <w:tc>
          <w:tcPr>
            <w:tcW w:w="1311" w:type="dxa"/>
            <w:vAlign w:val="center"/>
          </w:tcPr>
          <w:p>
            <w:pPr>
              <w:rPr>
                <w:sz w:val="24"/>
                <w:szCs w:val="24"/>
                <w:highlight w:val="none"/>
              </w:rPr>
            </w:pPr>
          </w:p>
        </w:tc>
        <w:tc>
          <w:tcPr>
            <w:tcW w:w="10004" w:type="dxa"/>
            <w:vAlign w:val="center"/>
          </w:tcPr>
          <w:p>
            <w:pPr>
              <w:snapToGrid w:val="0"/>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上次审核时发现的问题，经此次监督审核现场验证已关闭，整改措施有效。</w:t>
            </w:r>
          </w:p>
        </w:tc>
        <w:tc>
          <w:tcPr>
            <w:tcW w:w="1585" w:type="dxa"/>
          </w:tcPr>
          <w:p>
            <w:pPr>
              <w:spacing w:line="360" w:lineRule="auto"/>
              <w:rPr>
                <w:rFonts w:eastAsiaTheme="minorEastAsia"/>
                <w:sz w:val="24"/>
                <w:szCs w:val="24"/>
                <w:highlight w:val="none"/>
              </w:rPr>
            </w:pPr>
            <w:r>
              <w:rPr>
                <w:rFonts w:eastAsiaTheme="minorEastAsia"/>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center"/>
          </w:tcPr>
          <w:p>
            <w:pPr>
              <w:rPr>
                <w:rFonts w:hAnsi="宋体"/>
                <w:sz w:val="24"/>
                <w:szCs w:val="24"/>
                <w:highlight w:val="none"/>
              </w:rPr>
            </w:pPr>
            <w:r>
              <w:rPr>
                <w:rFonts w:hint="eastAsia" w:hAnsi="宋体"/>
                <w:sz w:val="24"/>
                <w:szCs w:val="24"/>
                <w:highlight w:val="none"/>
              </w:rPr>
              <w:t>认证证书、标志的使用情况</w:t>
            </w:r>
          </w:p>
        </w:tc>
        <w:tc>
          <w:tcPr>
            <w:tcW w:w="1311" w:type="dxa"/>
            <w:vAlign w:val="center"/>
          </w:tcPr>
          <w:p>
            <w:pPr>
              <w:rPr>
                <w:sz w:val="24"/>
                <w:szCs w:val="24"/>
                <w:highlight w:val="none"/>
              </w:rPr>
            </w:pPr>
          </w:p>
        </w:tc>
        <w:tc>
          <w:tcPr>
            <w:tcW w:w="10004" w:type="dxa"/>
            <w:vAlign w:val="center"/>
          </w:tcPr>
          <w:p>
            <w:pPr>
              <w:snapToGrid w:val="0"/>
              <w:spacing w:line="360" w:lineRule="auto"/>
              <w:ind w:firstLine="480" w:firstLineChars="200"/>
              <w:rPr>
                <w:rFonts w:hAnsi="宋体"/>
                <w:color w:val="000000"/>
                <w:sz w:val="24"/>
                <w:szCs w:val="24"/>
                <w:highlight w:val="none"/>
              </w:rPr>
            </w:pPr>
            <w:r>
              <w:rPr>
                <w:rFonts w:hAnsi="宋体"/>
                <w:color w:val="000000"/>
                <w:sz w:val="24"/>
                <w:szCs w:val="24"/>
                <w:highlight w:val="none"/>
              </w:rPr>
              <w:t>标志未应用在产品上；投标等情况使用认证证书。</w:t>
            </w:r>
          </w:p>
        </w:tc>
        <w:tc>
          <w:tcPr>
            <w:tcW w:w="1585" w:type="dxa"/>
          </w:tcPr>
          <w:p>
            <w:pPr>
              <w:spacing w:line="360" w:lineRule="auto"/>
              <w:rPr>
                <w:rFonts w:eastAsiaTheme="minorEastAsia"/>
                <w:sz w:val="24"/>
                <w:szCs w:val="24"/>
                <w:highlight w:val="none"/>
              </w:rPr>
            </w:pPr>
            <w:r>
              <w:rPr>
                <w:rFonts w:eastAsiaTheme="minorEastAsia"/>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center"/>
          </w:tcPr>
          <w:p>
            <w:pPr>
              <w:rPr>
                <w:rFonts w:hAnsi="宋体"/>
                <w:sz w:val="24"/>
                <w:szCs w:val="24"/>
                <w:highlight w:val="none"/>
              </w:rPr>
            </w:pPr>
            <w:r>
              <w:rPr>
                <w:rFonts w:hint="eastAsia" w:hAnsi="宋体"/>
                <w:sz w:val="24"/>
                <w:szCs w:val="24"/>
                <w:highlight w:val="none"/>
              </w:rPr>
              <w:t>投诉或事故、监督抽查情况、</w:t>
            </w:r>
          </w:p>
        </w:tc>
        <w:tc>
          <w:tcPr>
            <w:tcW w:w="1311" w:type="dxa"/>
            <w:vAlign w:val="center"/>
          </w:tcPr>
          <w:p>
            <w:pPr>
              <w:rPr>
                <w:sz w:val="24"/>
                <w:szCs w:val="24"/>
                <w:highlight w:val="none"/>
              </w:rPr>
            </w:pPr>
          </w:p>
        </w:tc>
        <w:tc>
          <w:tcPr>
            <w:tcW w:w="10004" w:type="dxa"/>
            <w:vAlign w:val="center"/>
          </w:tcPr>
          <w:p>
            <w:pPr>
              <w:snapToGrid w:val="0"/>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自公司成立以来，未受到上级主管部门有关质量、职业健康安全的行政处罚。未发生相关方的投诉。</w:t>
            </w:r>
          </w:p>
          <w:p>
            <w:pPr>
              <w:snapToGrid w:val="0"/>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暂时没有国家/地方抽查情况。</w:t>
            </w:r>
          </w:p>
          <w:p>
            <w:pPr>
              <w:snapToGrid w:val="0"/>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目前没有相关行政主管部门的检查处罚，在审核现场也未发现抽查、相关方投诉等情况。</w:t>
            </w:r>
          </w:p>
        </w:tc>
        <w:tc>
          <w:tcPr>
            <w:tcW w:w="1585" w:type="dxa"/>
          </w:tcPr>
          <w:p>
            <w:pPr>
              <w:spacing w:line="360" w:lineRule="auto"/>
              <w:rPr>
                <w:rFonts w:eastAsiaTheme="minorEastAsia"/>
                <w:sz w:val="24"/>
                <w:szCs w:val="24"/>
                <w:highlight w:val="none"/>
              </w:rPr>
            </w:pPr>
            <w:r>
              <w:rPr>
                <w:rFonts w:eastAsiaTheme="minorEastAsia"/>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center"/>
          </w:tcPr>
          <w:p>
            <w:pPr>
              <w:rPr>
                <w:rFonts w:hAnsi="宋体"/>
                <w:sz w:val="24"/>
                <w:szCs w:val="24"/>
                <w:highlight w:val="none"/>
              </w:rPr>
            </w:pPr>
            <w:r>
              <w:rPr>
                <w:rFonts w:hint="eastAsia" w:hAnsiTheme="minorEastAsia" w:eastAsiaTheme="minorEastAsia"/>
                <w:sz w:val="24"/>
                <w:szCs w:val="24"/>
                <w:highlight w:val="none"/>
              </w:rPr>
              <w:t>体系变动</w:t>
            </w:r>
          </w:p>
        </w:tc>
        <w:tc>
          <w:tcPr>
            <w:tcW w:w="1311" w:type="dxa"/>
            <w:vAlign w:val="center"/>
          </w:tcPr>
          <w:p>
            <w:pPr>
              <w:rPr>
                <w:sz w:val="24"/>
                <w:szCs w:val="24"/>
                <w:highlight w:val="none"/>
              </w:rPr>
            </w:pPr>
          </w:p>
        </w:tc>
        <w:tc>
          <w:tcPr>
            <w:tcW w:w="10004" w:type="dxa"/>
            <w:vAlign w:val="center"/>
          </w:tcPr>
          <w:p>
            <w:pPr>
              <w:snapToGrid w:val="0"/>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体系</w:t>
            </w:r>
            <w:r>
              <w:rPr>
                <w:rFonts w:hAnsi="宋体"/>
                <w:color w:val="000000"/>
                <w:sz w:val="24"/>
                <w:szCs w:val="24"/>
                <w:highlight w:val="none"/>
              </w:rPr>
              <w:t>《管理手册》，</w:t>
            </w:r>
            <w:r>
              <w:rPr>
                <w:rFonts w:hint="eastAsia" w:hAnsi="宋体"/>
                <w:color w:val="000000"/>
                <w:sz w:val="24"/>
                <w:szCs w:val="24"/>
                <w:highlight w:val="none"/>
              </w:rPr>
              <w:t>、和</w:t>
            </w:r>
            <w:r>
              <w:rPr>
                <w:rFonts w:hAnsi="宋体"/>
                <w:color w:val="000000"/>
                <w:sz w:val="24"/>
                <w:szCs w:val="24"/>
                <w:highlight w:val="none"/>
              </w:rPr>
              <w:t>《质量、环境、职业健康安全管理体系程序文件》</w:t>
            </w:r>
            <w:r>
              <w:rPr>
                <w:rFonts w:hint="eastAsia" w:hAnsi="宋体"/>
                <w:color w:val="000000"/>
                <w:sz w:val="24"/>
                <w:szCs w:val="24"/>
                <w:highlight w:val="none"/>
              </w:rPr>
              <w:t>按新版ISO45001：2018要求进行了修改，并在</w:t>
            </w:r>
            <w:r>
              <w:rPr>
                <w:rFonts w:hAnsi="宋体"/>
                <w:color w:val="000000"/>
                <w:sz w:val="24"/>
                <w:szCs w:val="24"/>
                <w:highlight w:val="none"/>
              </w:rPr>
              <w:t>20</w:t>
            </w:r>
            <w:r>
              <w:rPr>
                <w:rFonts w:hint="eastAsia" w:hAnsi="宋体"/>
                <w:color w:val="000000"/>
                <w:sz w:val="24"/>
                <w:szCs w:val="24"/>
                <w:highlight w:val="none"/>
              </w:rPr>
              <w:t>19</w:t>
            </w:r>
            <w:r>
              <w:rPr>
                <w:rFonts w:hAnsi="宋体"/>
                <w:color w:val="000000"/>
                <w:sz w:val="24"/>
                <w:szCs w:val="24"/>
                <w:highlight w:val="none"/>
              </w:rPr>
              <w:t>年</w:t>
            </w:r>
            <w:r>
              <w:rPr>
                <w:rFonts w:hint="eastAsia" w:hAnsi="宋体"/>
                <w:color w:val="000000"/>
                <w:sz w:val="24"/>
                <w:szCs w:val="24"/>
                <w:highlight w:val="none"/>
              </w:rPr>
              <w:t>12</w:t>
            </w:r>
            <w:r>
              <w:rPr>
                <w:rFonts w:hAnsi="宋体"/>
                <w:color w:val="000000"/>
                <w:sz w:val="24"/>
                <w:szCs w:val="24"/>
                <w:highlight w:val="none"/>
              </w:rPr>
              <w:t>月</w:t>
            </w:r>
            <w:r>
              <w:rPr>
                <w:rFonts w:hint="eastAsia" w:hAnsi="宋体"/>
                <w:color w:val="000000"/>
                <w:sz w:val="24"/>
                <w:szCs w:val="24"/>
                <w:highlight w:val="none"/>
              </w:rPr>
              <w:t>10</w:t>
            </w:r>
            <w:r>
              <w:rPr>
                <w:rFonts w:hAnsi="宋体"/>
                <w:color w:val="000000"/>
                <w:sz w:val="24"/>
                <w:szCs w:val="24"/>
                <w:highlight w:val="none"/>
              </w:rPr>
              <w:t>日发布实施。</w:t>
            </w:r>
          </w:p>
        </w:tc>
        <w:tc>
          <w:tcPr>
            <w:tcW w:w="1585" w:type="dxa"/>
          </w:tcPr>
          <w:p>
            <w:pPr>
              <w:spacing w:line="360" w:lineRule="auto"/>
              <w:rPr>
                <w:rFonts w:eastAsiaTheme="minorEastAsia"/>
                <w:sz w:val="24"/>
                <w:szCs w:val="24"/>
                <w:highlight w:val="none"/>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0D3FA4"/>
    <w:rsid w:val="000F65A6"/>
    <w:rsid w:val="00216D0F"/>
    <w:rsid w:val="002453E0"/>
    <w:rsid w:val="002710CD"/>
    <w:rsid w:val="00276309"/>
    <w:rsid w:val="002A658A"/>
    <w:rsid w:val="002B4F52"/>
    <w:rsid w:val="00320584"/>
    <w:rsid w:val="00323C21"/>
    <w:rsid w:val="003254EE"/>
    <w:rsid w:val="00394BEC"/>
    <w:rsid w:val="003B6B18"/>
    <w:rsid w:val="003D25D2"/>
    <w:rsid w:val="003F5114"/>
    <w:rsid w:val="00414F2D"/>
    <w:rsid w:val="004434DA"/>
    <w:rsid w:val="004B401A"/>
    <w:rsid w:val="004B41E7"/>
    <w:rsid w:val="004D58AA"/>
    <w:rsid w:val="00507686"/>
    <w:rsid w:val="00537A14"/>
    <w:rsid w:val="0055317A"/>
    <w:rsid w:val="00564366"/>
    <w:rsid w:val="00596E99"/>
    <w:rsid w:val="005C040C"/>
    <w:rsid w:val="005C2CC2"/>
    <w:rsid w:val="005D146A"/>
    <w:rsid w:val="00607106"/>
    <w:rsid w:val="00615BD7"/>
    <w:rsid w:val="00663AF3"/>
    <w:rsid w:val="006641AE"/>
    <w:rsid w:val="00711EF7"/>
    <w:rsid w:val="007D12E6"/>
    <w:rsid w:val="007E75C0"/>
    <w:rsid w:val="007F23D6"/>
    <w:rsid w:val="008A1D90"/>
    <w:rsid w:val="008B13D5"/>
    <w:rsid w:val="008B394B"/>
    <w:rsid w:val="008B4944"/>
    <w:rsid w:val="008D6E91"/>
    <w:rsid w:val="008E0CBF"/>
    <w:rsid w:val="00991D29"/>
    <w:rsid w:val="009C6CE5"/>
    <w:rsid w:val="009F734B"/>
    <w:rsid w:val="00A143B6"/>
    <w:rsid w:val="00A14577"/>
    <w:rsid w:val="00A23916"/>
    <w:rsid w:val="00A31BAA"/>
    <w:rsid w:val="00AD0913"/>
    <w:rsid w:val="00AE062B"/>
    <w:rsid w:val="00B20739"/>
    <w:rsid w:val="00B537D2"/>
    <w:rsid w:val="00BC5B55"/>
    <w:rsid w:val="00BE0020"/>
    <w:rsid w:val="00CF62F2"/>
    <w:rsid w:val="00D050A8"/>
    <w:rsid w:val="00D10ACD"/>
    <w:rsid w:val="00D471E6"/>
    <w:rsid w:val="00D572DD"/>
    <w:rsid w:val="00D61BE1"/>
    <w:rsid w:val="00D63B9B"/>
    <w:rsid w:val="00D66565"/>
    <w:rsid w:val="00DC08CB"/>
    <w:rsid w:val="00E15843"/>
    <w:rsid w:val="00E34B66"/>
    <w:rsid w:val="00E800FC"/>
    <w:rsid w:val="00E92D77"/>
    <w:rsid w:val="00EA40CD"/>
    <w:rsid w:val="00ED7AC6"/>
    <w:rsid w:val="00EF3EB4"/>
    <w:rsid w:val="00F70047"/>
    <w:rsid w:val="00F7678E"/>
    <w:rsid w:val="00FC3878"/>
    <w:rsid w:val="00FD5BE8"/>
    <w:rsid w:val="4C746058"/>
    <w:rsid w:val="6B374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525" w:firstLineChars="210"/>
    </w:pPr>
    <w:rPr>
      <w:spacing w:val="20"/>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正文文本缩进 Char"/>
    <w:basedOn w:val="8"/>
    <w:link w:val="2"/>
    <w:uiPriority w:val="0"/>
    <w:rPr>
      <w:rFonts w:ascii="Times New Roman" w:hAnsi="Times New Roman" w:eastAsia="宋体" w:cs="Times New Roman"/>
      <w:spacing w:val="20"/>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702</Words>
  <Characters>4008</Characters>
  <Lines>33</Lines>
  <Paragraphs>9</Paragraphs>
  <TotalTime>256</TotalTime>
  <ScaleCrop>false</ScaleCrop>
  <LinksUpToDate>false</LinksUpToDate>
  <CharactersWithSpaces>4701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2020-07-01T06:28:40Z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