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73"/>
        <w:gridCol w:w="1192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49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江西畅然科技发展有限公司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3"/>
                <w:szCs w:val="13"/>
              </w:rPr>
            </w:pPr>
            <w:bookmarkStart w:id="5" w:name="专业代码"/>
            <w:r>
              <w:rPr>
                <w:b/>
                <w:sz w:val="13"/>
                <w:szCs w:val="13"/>
              </w:rPr>
              <w:t>Q33.02.01;33.02.04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E33.02.01;33.02.04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O33.02.01;33.02.04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万文杰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Q33.02.01;33.02.04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E33.02.01;33.02.04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O33.02.01;33.02.04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Q33.02.01;33.02.04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E33.02.01;33.02.0O33.02.01;33.02.04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pStyle w:val="2"/>
              <w:spacing w:line="480" w:lineRule="exact"/>
              <w:jc w:val="left"/>
              <w:textAlignment w:val="baseline"/>
              <w:rPr>
                <w:rFonts w:hint="eastAsia" w:hAnsi="宋体"/>
                <w:b/>
                <w:bCs/>
                <w:color w:val="000000"/>
                <w:spacing w:val="1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  <w:lang w:eastAsia="zh-CN"/>
              </w:rPr>
              <w:t>计算机系统集成；计算机软件开发与服务</w:t>
            </w:r>
            <w:r>
              <w:rPr>
                <w:rFonts w:hint="eastAsia" w:hAnsi="宋体"/>
                <w:color w:val="000000"/>
                <w:spacing w:val="20"/>
                <w:sz w:val="21"/>
                <w:szCs w:val="21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应用要求</w:t>
            </w:r>
            <w:r>
              <w:rPr>
                <w:rFonts w:hint="eastAsia"/>
                <w:color w:val="000000"/>
                <w:sz w:val="21"/>
                <w:szCs w:val="21"/>
              </w:rPr>
              <w:softHyphen/>
            </w:r>
            <w:r>
              <w:rPr>
                <w:rFonts w:hint="eastAsia"/>
                <w:color w:val="000000"/>
                <w:sz w:val="21"/>
                <w:szCs w:val="21"/>
              </w:rPr>
              <w:softHyphen/>
            </w:r>
            <w:r>
              <w:rPr>
                <w:rFonts w:hint="eastAsia"/>
                <w:color w:val="000000"/>
                <w:sz w:val="21"/>
                <w:szCs w:val="21"/>
              </w:rPr>
              <w:softHyphen/>
            </w:r>
            <w:r>
              <w:rPr>
                <w:rFonts w:hint="eastAsia"/>
                <w:color w:val="000000"/>
                <w:sz w:val="21"/>
                <w:szCs w:val="21"/>
              </w:rPr>
              <w:t>——计算机相关技术——选择软、硬件设备———安装调试——验收</w:t>
            </w:r>
          </w:p>
          <w:p>
            <w:pPr>
              <w:ind w:firstLine="522" w:firstLineChars="24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产品销售范围工艺流程：</w:t>
            </w:r>
          </w:p>
          <w:p>
            <w:pPr>
              <w:ind w:firstLine="522" w:firstLineChars="24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bookmarkStart w:id="6" w:name="_GoBack"/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重点控制</w:t>
            </w:r>
            <w:r>
              <w:rPr>
                <w:rFonts w:hint="eastAsia"/>
                <w:b/>
                <w:sz w:val="20"/>
                <w:lang w:val="en-US" w:eastAsia="zh-CN"/>
              </w:rPr>
              <w:t>销售</w:t>
            </w:r>
            <w:r>
              <w:rPr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制定销售规范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以顾客为关注焦点</w:t>
            </w:r>
            <w:r>
              <w:rPr>
                <w:rFonts w:hint="eastAsia"/>
                <w:b/>
                <w:sz w:val="20"/>
              </w:rPr>
              <w:t>。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重大危险源：触电、火灾；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中华人民共和国产品质量法、标准化法、环保法、安全生产法，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计算机软件单元测试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信息技术 软件产品评价 质量特性及其使用指南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信息技术 CASE工具的评价与选择指南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信息技术 系统及软件完整性级别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91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万文杰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2020.6.7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454F66"/>
    <w:rsid w:val="35BE791E"/>
    <w:rsid w:val="5F9F0183"/>
    <w:rsid w:val="604E3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2020-06-15T13:57:34Z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