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江西畅然科技发展有限公司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0253-2020-QEO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李秀琼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18607918283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Q：计算机系统集成；计算机软件开发与服务；计算机、通信设备、办公设备及耗材的销售</w:t>
            </w:r>
          </w:p>
          <w:p>
            <w:r>
              <w:t>E：计算机系统集成；计算机软件开发与服务；计算机、通信设备、办公设备及耗材的销售及其所涉及相关场所的管理活动</w:t>
            </w:r>
          </w:p>
          <w:p>
            <w:r>
              <w:t>O：计算机系统集成；计算机软件开发与服务；计算机、通信设备、办公设备及耗材的销售及其所涉及相关场所的管理活动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Q：29.12.00;33.02.01;33.02.04</w:t>
            </w:r>
          </w:p>
          <w:p>
            <w:r>
              <w:t>E：29.12.00;33.02.01;33.02.04</w:t>
            </w:r>
          </w:p>
          <w:p>
            <w:r>
              <w:t>O：29.12.00;33.02.01;33.02.04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2020年06月07日 上午至2020年06月07日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A见证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王景玲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C被见证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ISC-259164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万文杰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18070516688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hint="eastAsia" w:ascii="宋体" w:hAnsi="宋体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</w:t>
      </w:r>
      <w:r>
        <w:rPr>
          <w:rFonts w:hint="eastAsia" w:ascii="宋体" w:hAnsi="宋体"/>
          <w:sz w:val="32"/>
          <w:szCs w:val="32"/>
          <w:lang w:val="en-US" w:eastAsia="zh-CN"/>
        </w:rPr>
        <w:t>远程</w:t>
      </w:r>
      <w:r>
        <w:rPr>
          <w:rFonts w:hint="eastAsia" w:ascii="宋体" w:hAnsi="宋体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525" w:firstLineChars="2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9：00-12：30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12：30-13：00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（午餐）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了解客户是否策划和实施了内部审核；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了解客户是否策划和实施了管理评审；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9：00-12：30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12：30-13：00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（午餐）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了解采购、销售及顾客满意度基本控制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了解有无多场所或多场所与申报的一致性。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</w:rPr>
              <w:t>的场所、产品与认证范围一致性，了解设备管理包括特种设备控制，了解监视测量资源控制，了解产品工艺、检验控制。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napToGrid w:val="0"/>
              <w:spacing w:line="280" w:lineRule="exact"/>
              <w:ind w:firstLine="2415" w:firstLineChars="115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BD5470"/>
    <w:rsid w:val="5B366718"/>
    <w:rsid w:val="7F654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2020-06-15T13:54:22Z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